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EF379" w14:textId="77777777" w:rsidR="003945CA" w:rsidRDefault="003945CA" w:rsidP="003945CA">
      <w:pPr>
        <w:rPr>
          <w:b/>
          <w:u w:val="single"/>
        </w:rPr>
      </w:pPr>
      <w:r w:rsidRPr="00BF2469">
        <w:rPr>
          <w:b/>
          <w:u w:val="single"/>
        </w:rPr>
        <w:t>Supplementary data</w:t>
      </w:r>
    </w:p>
    <w:p w14:paraId="74FF1B75" w14:textId="77777777" w:rsidR="006F0FFF" w:rsidRPr="009E313E" w:rsidRDefault="006F0FFF" w:rsidP="003945CA">
      <w:pPr>
        <w:rPr>
          <w:b/>
          <w:u w:val="single"/>
        </w:rPr>
      </w:pPr>
      <w:r>
        <w:rPr>
          <w:b/>
          <w:u w:val="single"/>
        </w:rPr>
        <w:t xml:space="preserve">Table S1: </w:t>
      </w:r>
      <w:r w:rsidRPr="000A411D">
        <w:rPr>
          <w:rFonts w:cs="Arial"/>
        </w:rPr>
        <w:t>Characteristics of the “GP appropriate” patients attending the ED at Alder Hey with standardised differences</w:t>
      </w:r>
    </w:p>
    <w:tbl>
      <w:tblPr>
        <w:tblStyle w:val="TableGrid"/>
        <w:tblW w:w="9640" w:type="dxa"/>
        <w:tblInd w:w="-147" w:type="dxa"/>
        <w:tblLook w:val="04A0" w:firstRow="1" w:lastRow="0" w:firstColumn="1" w:lastColumn="0" w:noHBand="0" w:noVBand="1"/>
      </w:tblPr>
      <w:tblGrid>
        <w:gridCol w:w="2401"/>
        <w:gridCol w:w="5112"/>
        <w:gridCol w:w="2127"/>
      </w:tblGrid>
      <w:tr w:rsidR="006F0FFF" w:rsidRPr="002F5FFC" w14:paraId="4D3E2013" w14:textId="77777777" w:rsidTr="00335A26">
        <w:tc>
          <w:tcPr>
            <w:tcW w:w="2401" w:type="dxa"/>
          </w:tcPr>
          <w:p w14:paraId="79CD41AD" w14:textId="77777777" w:rsidR="006F0FFF" w:rsidRPr="002F5FFC" w:rsidRDefault="006F0FFF" w:rsidP="00335A26">
            <w:pPr>
              <w:rPr>
                <w:b/>
                <w:i/>
              </w:rPr>
            </w:pPr>
            <w:r w:rsidRPr="002F5FFC">
              <w:rPr>
                <w:b/>
                <w:i/>
              </w:rPr>
              <w:t>Variable</w:t>
            </w:r>
          </w:p>
        </w:tc>
        <w:tc>
          <w:tcPr>
            <w:tcW w:w="5112" w:type="dxa"/>
          </w:tcPr>
          <w:p w14:paraId="525D7286" w14:textId="77777777" w:rsidR="006F0FFF" w:rsidRDefault="006F0FFF" w:rsidP="00335A26">
            <w:pPr>
              <w:rPr>
                <w:b/>
              </w:rPr>
            </w:pPr>
            <w:r w:rsidRPr="002F5FFC">
              <w:rPr>
                <w:b/>
              </w:rPr>
              <w:t>GP</w:t>
            </w:r>
            <w:r>
              <w:rPr>
                <w:b/>
              </w:rPr>
              <w:t xml:space="preserve"> hours                        </w:t>
            </w:r>
            <w:r w:rsidRPr="002F5FFC">
              <w:rPr>
                <w:b/>
              </w:rPr>
              <w:t xml:space="preserve">  ED                               Total</w:t>
            </w:r>
          </w:p>
          <w:p w14:paraId="65FF4F13" w14:textId="77777777" w:rsidR="006F0FFF" w:rsidRPr="002F5FFC" w:rsidRDefault="006F0FFF" w:rsidP="00335A26">
            <w:pPr>
              <w:rPr>
                <w:b/>
              </w:rPr>
            </w:pPr>
            <w:r>
              <w:rPr>
                <w:b/>
              </w:rPr>
              <w:t xml:space="preserve"> 2821 (54%)                  2402 (46%)                    5223</w:t>
            </w:r>
          </w:p>
        </w:tc>
        <w:tc>
          <w:tcPr>
            <w:tcW w:w="2127" w:type="dxa"/>
          </w:tcPr>
          <w:p w14:paraId="0E898849" w14:textId="77777777" w:rsidR="006F0FFF" w:rsidRPr="002F5FFC" w:rsidRDefault="006F0FFF" w:rsidP="00335A26">
            <w:pPr>
              <w:rPr>
                <w:b/>
                <w:i/>
              </w:rPr>
            </w:pPr>
            <w:r>
              <w:rPr>
                <w:b/>
                <w:i/>
              </w:rPr>
              <w:t>Standardised difference</w:t>
            </w:r>
            <w:r w:rsidRPr="002F5FFC">
              <w:rPr>
                <w:b/>
                <w:i/>
              </w:rPr>
              <w:t xml:space="preserve"> </w:t>
            </w:r>
          </w:p>
        </w:tc>
      </w:tr>
      <w:tr w:rsidR="006F0FFF" w:rsidRPr="00212655" w14:paraId="6FE41FCF" w14:textId="77777777" w:rsidTr="00335A26">
        <w:tc>
          <w:tcPr>
            <w:tcW w:w="2401" w:type="dxa"/>
          </w:tcPr>
          <w:p w14:paraId="636164A6" w14:textId="77777777" w:rsidR="006F0FFF" w:rsidRPr="00C55D3B" w:rsidRDefault="006F0FFF" w:rsidP="00335A26">
            <w:pPr>
              <w:rPr>
                <w:b/>
              </w:rPr>
            </w:pPr>
            <w:r w:rsidRPr="00C55D3B">
              <w:rPr>
                <w:b/>
              </w:rPr>
              <w:t xml:space="preserve">Gender            </w:t>
            </w:r>
          </w:p>
          <w:p w14:paraId="2A5F15CA" w14:textId="77777777" w:rsidR="006F0FFF" w:rsidRDefault="006F0FFF" w:rsidP="00335A26">
            <w:r>
              <w:t xml:space="preserve">                       Female</w:t>
            </w:r>
          </w:p>
          <w:p w14:paraId="1CD3A5ED" w14:textId="77777777" w:rsidR="006F0FFF" w:rsidRDefault="006F0FFF" w:rsidP="00335A26">
            <w:r>
              <w:t xml:space="preserve">                           Male </w:t>
            </w:r>
          </w:p>
        </w:tc>
        <w:tc>
          <w:tcPr>
            <w:tcW w:w="5112" w:type="dxa"/>
          </w:tcPr>
          <w:p w14:paraId="7E9129C5" w14:textId="77777777" w:rsidR="006F0FFF" w:rsidRDefault="006F0FFF" w:rsidP="00335A26"/>
          <w:p w14:paraId="21FC5F02" w14:textId="77777777" w:rsidR="006F0FFF" w:rsidRDefault="006F0FFF" w:rsidP="00335A26">
            <w:r>
              <w:t>1380 (48.9%)           1170 (48.7%)           2550 (48.8%)</w:t>
            </w:r>
          </w:p>
          <w:p w14:paraId="69D58DB1" w14:textId="77777777" w:rsidR="006F0FFF" w:rsidRDefault="006F0FFF" w:rsidP="00335A26">
            <w:r>
              <w:t>1441 (51.1%)           1232 (51.3%)           2673 (51.2%)</w:t>
            </w:r>
          </w:p>
        </w:tc>
        <w:tc>
          <w:tcPr>
            <w:tcW w:w="2127" w:type="dxa"/>
          </w:tcPr>
          <w:p w14:paraId="40A9A175" w14:textId="77777777" w:rsidR="006F0FFF" w:rsidRDefault="006F0FFF" w:rsidP="00335A26"/>
          <w:p w14:paraId="46A3DD65" w14:textId="77777777" w:rsidR="006F0FFF" w:rsidRDefault="006F0FFF" w:rsidP="00335A26">
            <w:r>
              <w:t>0.004 (-3.94, 3.94)</w:t>
            </w:r>
          </w:p>
          <w:p w14:paraId="17714802" w14:textId="77777777" w:rsidR="006F0FFF" w:rsidRPr="00212655" w:rsidRDefault="006F0FFF" w:rsidP="00335A26">
            <w:r>
              <w:t>-0.004 (-3.80, 3.80)</w:t>
            </w:r>
          </w:p>
        </w:tc>
      </w:tr>
      <w:tr w:rsidR="006F0FFF" w:rsidRPr="00212655" w14:paraId="3BAE8810" w14:textId="77777777" w:rsidTr="00335A26">
        <w:tc>
          <w:tcPr>
            <w:tcW w:w="2401" w:type="dxa"/>
          </w:tcPr>
          <w:p w14:paraId="1DA5330D" w14:textId="77777777" w:rsidR="006F0FFF" w:rsidRPr="00C55D3B" w:rsidRDefault="006F0FFF" w:rsidP="00335A26">
            <w:pPr>
              <w:rPr>
                <w:b/>
              </w:rPr>
            </w:pPr>
            <w:r w:rsidRPr="00C55D3B">
              <w:rPr>
                <w:b/>
              </w:rPr>
              <w:t xml:space="preserve">Age categorical  </w:t>
            </w:r>
          </w:p>
          <w:p w14:paraId="65A42E18" w14:textId="77777777" w:rsidR="006F0FFF" w:rsidRDefault="006F0FFF" w:rsidP="00335A26">
            <w:r>
              <w:t xml:space="preserve">                            &lt; 1 </w:t>
            </w:r>
            <w:proofErr w:type="spellStart"/>
            <w:r>
              <w:t>yr</w:t>
            </w:r>
            <w:proofErr w:type="spellEnd"/>
          </w:p>
          <w:p w14:paraId="66894DA5" w14:textId="77777777" w:rsidR="006F0FFF" w:rsidRDefault="006F0FFF" w:rsidP="00335A26">
            <w:r>
              <w:t xml:space="preserve">                            1-5 </w:t>
            </w:r>
            <w:proofErr w:type="spellStart"/>
            <w:r>
              <w:t>yrs</w:t>
            </w:r>
            <w:proofErr w:type="spellEnd"/>
          </w:p>
          <w:p w14:paraId="3C74A79B" w14:textId="77777777" w:rsidR="006F0FFF" w:rsidRDefault="006F0FFF" w:rsidP="00335A26">
            <w:r>
              <w:t xml:space="preserve">                          5-10 </w:t>
            </w:r>
            <w:proofErr w:type="spellStart"/>
            <w:r>
              <w:t>yrs</w:t>
            </w:r>
            <w:proofErr w:type="spellEnd"/>
          </w:p>
          <w:p w14:paraId="624EB807" w14:textId="77777777" w:rsidR="006F0FFF" w:rsidRDefault="006F0FFF" w:rsidP="00335A26">
            <w:r>
              <w:t xml:space="preserve">                            &gt;10 </w:t>
            </w:r>
            <w:proofErr w:type="spellStart"/>
            <w:r>
              <w:t>yrs</w:t>
            </w:r>
            <w:proofErr w:type="spellEnd"/>
            <w:r>
              <w:t xml:space="preserve"> </w:t>
            </w:r>
          </w:p>
        </w:tc>
        <w:tc>
          <w:tcPr>
            <w:tcW w:w="5112" w:type="dxa"/>
          </w:tcPr>
          <w:p w14:paraId="00F6D2C4" w14:textId="77777777" w:rsidR="006F0FFF" w:rsidRDefault="006F0FFF" w:rsidP="00335A26"/>
          <w:p w14:paraId="18006419" w14:textId="77777777" w:rsidR="006F0FFF" w:rsidRDefault="006F0FFF" w:rsidP="00335A26">
            <w:r>
              <w:t xml:space="preserve"> 761 (27%)                   574 (23.9%)            1335 (25.6%)</w:t>
            </w:r>
          </w:p>
          <w:p w14:paraId="620CE414" w14:textId="77777777" w:rsidR="006F0FFF" w:rsidRDefault="006F0FFF" w:rsidP="00335A26">
            <w:r>
              <w:t>1244 (44.1%)             1006 (41.9%)           2250 (43.1%)</w:t>
            </w:r>
          </w:p>
          <w:p w14:paraId="2396C62C" w14:textId="77777777" w:rsidR="006F0FFF" w:rsidRDefault="006F0FFF" w:rsidP="00335A26">
            <w:r>
              <w:t xml:space="preserve">  479 (17.0%)                481 (20.0%)             960 (18.4%)</w:t>
            </w:r>
          </w:p>
          <w:p w14:paraId="6A3D3B2E" w14:textId="77777777" w:rsidR="006F0FFF" w:rsidRDefault="006F0FFF" w:rsidP="00335A26">
            <w:r>
              <w:t xml:space="preserve">  337 (11.9%)                341 (14.2%)              678 (13.0%)</w:t>
            </w:r>
          </w:p>
        </w:tc>
        <w:tc>
          <w:tcPr>
            <w:tcW w:w="2127" w:type="dxa"/>
          </w:tcPr>
          <w:p w14:paraId="4A145290" w14:textId="77777777" w:rsidR="006F0FFF" w:rsidRDefault="006F0FFF" w:rsidP="00335A26"/>
          <w:p w14:paraId="08B04C03" w14:textId="77777777" w:rsidR="006F0FFF" w:rsidRDefault="006F0FFF" w:rsidP="00335A26">
            <w:r>
              <w:t>0.0712  (-4.65, 4.79)</w:t>
            </w:r>
          </w:p>
          <w:p w14:paraId="6E60BF91" w14:textId="77777777" w:rsidR="006F0FFF" w:rsidRDefault="006F0FFF" w:rsidP="00335A26">
            <w:r>
              <w:t>0.0444  (4.10, 4.14)</w:t>
            </w:r>
          </w:p>
          <w:p w14:paraId="10A20B86" w14:textId="77777777" w:rsidR="006F0FFF" w:rsidRDefault="006F0FFF" w:rsidP="00335A26">
            <w:r>
              <w:t>-0.0773 (-4.99, 4.53)</w:t>
            </w:r>
          </w:p>
          <w:p w14:paraId="33A0D23F" w14:textId="77777777" w:rsidR="006F0FFF" w:rsidRPr="00212655" w:rsidRDefault="006F0FFF" w:rsidP="00335A26">
            <w:r>
              <w:t>-0.0683  (-5.14, 5.00)</w:t>
            </w:r>
          </w:p>
        </w:tc>
      </w:tr>
      <w:tr w:rsidR="006F0FFF" w14:paraId="203D683D" w14:textId="77777777" w:rsidTr="00335A26">
        <w:tc>
          <w:tcPr>
            <w:tcW w:w="2401" w:type="dxa"/>
          </w:tcPr>
          <w:p w14:paraId="31A6AB19" w14:textId="77777777" w:rsidR="006F0FFF" w:rsidRPr="00C55D3B" w:rsidRDefault="006F0FFF" w:rsidP="00335A26">
            <w:pPr>
              <w:rPr>
                <w:b/>
              </w:rPr>
            </w:pPr>
            <w:r w:rsidRPr="00C55D3B">
              <w:rPr>
                <w:b/>
              </w:rPr>
              <w:t>Deprivation quintiles</w:t>
            </w:r>
          </w:p>
          <w:p w14:paraId="61FEBD64" w14:textId="77777777" w:rsidR="006F0FFF" w:rsidRDefault="006F0FFF" w:rsidP="00335A26">
            <w:r>
              <w:t xml:space="preserve">                                    1</w:t>
            </w:r>
          </w:p>
          <w:p w14:paraId="04B480F8" w14:textId="77777777" w:rsidR="006F0FFF" w:rsidRDefault="006F0FFF" w:rsidP="00335A26">
            <w:r>
              <w:t xml:space="preserve">                                    2</w:t>
            </w:r>
          </w:p>
          <w:p w14:paraId="1BC46331" w14:textId="77777777" w:rsidR="006F0FFF" w:rsidRDefault="006F0FFF" w:rsidP="00335A26">
            <w:r>
              <w:t xml:space="preserve">                                    3</w:t>
            </w:r>
          </w:p>
          <w:p w14:paraId="581E1203" w14:textId="77777777" w:rsidR="006F0FFF" w:rsidRDefault="006F0FFF" w:rsidP="00335A26">
            <w:r>
              <w:t xml:space="preserve">                                    4</w:t>
            </w:r>
          </w:p>
          <w:p w14:paraId="14A5D44F" w14:textId="77777777" w:rsidR="006F0FFF" w:rsidRDefault="006F0FFF" w:rsidP="00335A26">
            <w:r>
              <w:t xml:space="preserve">                                    5</w:t>
            </w:r>
          </w:p>
        </w:tc>
        <w:tc>
          <w:tcPr>
            <w:tcW w:w="5112" w:type="dxa"/>
          </w:tcPr>
          <w:p w14:paraId="38CE9EA9" w14:textId="77777777" w:rsidR="006F0FFF" w:rsidRDefault="006F0FFF" w:rsidP="00335A26"/>
          <w:p w14:paraId="69A98991" w14:textId="77777777" w:rsidR="006F0FFF" w:rsidRDefault="006F0FFF" w:rsidP="00335A26">
            <w:r>
              <w:t xml:space="preserve">  67 (2.4%)                        76 (3.2%)                143 (2.7%)</w:t>
            </w:r>
          </w:p>
          <w:p w14:paraId="280F6727" w14:textId="77777777" w:rsidR="006F0FFF" w:rsidRDefault="006F0FFF" w:rsidP="00335A26">
            <w:r>
              <w:t>144 (5.1%)                      129 (5.4%)                273 (5.2%)</w:t>
            </w:r>
          </w:p>
          <w:p w14:paraId="71F51716" w14:textId="77777777" w:rsidR="006F0FFF" w:rsidRDefault="006F0FFF" w:rsidP="00335A26">
            <w:r>
              <w:t xml:space="preserve"> 290 (10.3%)                   238 (9.9%)                528 (10.1%)</w:t>
            </w:r>
          </w:p>
          <w:p w14:paraId="6283919D" w14:textId="77777777" w:rsidR="006F0FFF" w:rsidRDefault="006F0FFF" w:rsidP="00335A26">
            <w:r>
              <w:t xml:space="preserve"> 386 (13.7%)                    308 (12.8%)             694 (13.3%)</w:t>
            </w:r>
          </w:p>
          <w:p w14:paraId="6C762027" w14:textId="77777777" w:rsidR="006F0FFF" w:rsidRDefault="006F0FFF" w:rsidP="00335A26">
            <w:r>
              <w:t>1933 (68.5%)                  1647 (68.6%)         3180 (68.5%)</w:t>
            </w:r>
          </w:p>
        </w:tc>
        <w:tc>
          <w:tcPr>
            <w:tcW w:w="2127" w:type="dxa"/>
          </w:tcPr>
          <w:p w14:paraId="0ABC7C7F" w14:textId="77777777" w:rsidR="006F0FFF" w:rsidRDefault="006F0FFF" w:rsidP="00335A26"/>
          <w:p w14:paraId="7C00BF38" w14:textId="77777777" w:rsidR="006F0FFF" w:rsidRDefault="006F0FFF" w:rsidP="00335A26">
            <w:r>
              <w:t>-0.0485 (-5.47, 5.37)</w:t>
            </w:r>
          </w:p>
          <w:p w14:paraId="43B4B231" w14:textId="77777777" w:rsidR="006F0FFF" w:rsidRDefault="006F0FFF" w:rsidP="00335A26">
            <w:r>
              <w:t>-0.0135  (-5.63, 5.61)</w:t>
            </w:r>
          </w:p>
          <w:p w14:paraId="0624DC8B" w14:textId="77777777" w:rsidR="006F0FFF" w:rsidRDefault="006F0FFF" w:rsidP="00335A26">
            <w:r>
              <w:t>-0.0133  (-5.15, 5.18)</w:t>
            </w:r>
          </w:p>
          <w:p w14:paraId="4F2D72B3" w14:textId="77777777" w:rsidR="006F0FFF" w:rsidRDefault="006F0FFF" w:rsidP="00335A26">
            <w:r>
              <w:t>0.0265   (-5.07, 5.12)</w:t>
            </w:r>
          </w:p>
          <w:p w14:paraId="1D960B54" w14:textId="77777777" w:rsidR="006F0FFF" w:rsidRDefault="006F0FFF" w:rsidP="00335A26">
            <w:r>
              <w:t>-0.0022  (-3.05, 3.05)</w:t>
            </w:r>
          </w:p>
        </w:tc>
      </w:tr>
    </w:tbl>
    <w:p w14:paraId="6ED4B404" w14:textId="77777777" w:rsidR="006F0FFF" w:rsidRPr="00BF2469" w:rsidRDefault="006F0FFF" w:rsidP="003945CA">
      <w:pPr>
        <w:rPr>
          <w:b/>
          <w:u w:val="single"/>
        </w:rPr>
      </w:pPr>
    </w:p>
    <w:p w14:paraId="710ADEB5" w14:textId="57409650" w:rsidR="003945CA" w:rsidRDefault="003945CA" w:rsidP="003945CA">
      <w:r>
        <w:t>Table S</w:t>
      </w:r>
      <w:r w:rsidR="0012135E">
        <w:t>2</w:t>
      </w:r>
      <w:r>
        <w:t>: Discharge status by PP analysis</w:t>
      </w:r>
    </w:p>
    <w:tbl>
      <w:tblPr>
        <w:tblStyle w:val="TableGrid"/>
        <w:tblW w:w="0" w:type="auto"/>
        <w:tblLook w:val="04A0" w:firstRow="1" w:lastRow="0" w:firstColumn="1" w:lastColumn="0" w:noHBand="0" w:noVBand="1"/>
      </w:tblPr>
      <w:tblGrid>
        <w:gridCol w:w="2263"/>
        <w:gridCol w:w="6753"/>
      </w:tblGrid>
      <w:tr w:rsidR="003945CA" w14:paraId="1D79BFCB" w14:textId="77777777" w:rsidTr="0031191A">
        <w:tc>
          <w:tcPr>
            <w:tcW w:w="2263" w:type="dxa"/>
          </w:tcPr>
          <w:p w14:paraId="490EBD44" w14:textId="77777777" w:rsidR="003945CA" w:rsidRPr="006F6123" w:rsidRDefault="003945CA" w:rsidP="0031191A">
            <w:pPr>
              <w:rPr>
                <w:b/>
                <w:i/>
              </w:rPr>
            </w:pPr>
            <w:r w:rsidRPr="006F6123">
              <w:rPr>
                <w:b/>
                <w:i/>
              </w:rPr>
              <w:t>Discharge</w:t>
            </w:r>
          </w:p>
        </w:tc>
        <w:tc>
          <w:tcPr>
            <w:tcW w:w="6753" w:type="dxa"/>
          </w:tcPr>
          <w:p w14:paraId="557FA8C0" w14:textId="77777777" w:rsidR="003945CA" w:rsidRDefault="003945CA" w:rsidP="0031191A">
            <w:r>
              <w:t xml:space="preserve">GP hours                      GP to ED                        ED                             Total                                                   </w:t>
            </w:r>
          </w:p>
        </w:tc>
      </w:tr>
      <w:tr w:rsidR="003945CA" w14:paraId="6543450D" w14:textId="77777777" w:rsidTr="0031191A">
        <w:trPr>
          <w:trHeight w:val="2218"/>
        </w:trPr>
        <w:tc>
          <w:tcPr>
            <w:tcW w:w="2263" w:type="dxa"/>
          </w:tcPr>
          <w:p w14:paraId="62BF93C1" w14:textId="77777777" w:rsidR="003945CA" w:rsidRDefault="003945CA" w:rsidP="0031191A">
            <w:r>
              <w:t>Own GP follow-up</w:t>
            </w:r>
          </w:p>
          <w:p w14:paraId="6A94381D" w14:textId="77777777" w:rsidR="003945CA" w:rsidRDefault="003945CA" w:rsidP="0031191A">
            <w:r>
              <w:t>Discharged</w:t>
            </w:r>
          </w:p>
          <w:p w14:paraId="5339AB0B" w14:textId="77777777" w:rsidR="003945CA" w:rsidRDefault="003945CA" w:rsidP="0031191A">
            <w:r>
              <w:t>Admitted</w:t>
            </w:r>
          </w:p>
          <w:p w14:paraId="66639E29" w14:textId="77777777" w:rsidR="003945CA" w:rsidRDefault="003945CA" w:rsidP="0031191A">
            <w:r>
              <w:t>Outpatient services</w:t>
            </w:r>
          </w:p>
          <w:p w14:paraId="16B76A95" w14:textId="77777777" w:rsidR="003945CA" w:rsidRDefault="003945CA" w:rsidP="0031191A">
            <w:r>
              <w:t>A&amp;E services</w:t>
            </w:r>
          </w:p>
          <w:p w14:paraId="158087E2" w14:textId="77777777" w:rsidR="003945CA" w:rsidRDefault="003945CA" w:rsidP="0031191A">
            <w:r>
              <w:t>Community service</w:t>
            </w:r>
          </w:p>
          <w:p w14:paraId="7EE9B3F4" w14:textId="77777777" w:rsidR="003945CA" w:rsidRDefault="003945CA" w:rsidP="0031191A">
            <w:r>
              <w:t>Dentist</w:t>
            </w:r>
          </w:p>
          <w:p w14:paraId="66A98316" w14:textId="77777777" w:rsidR="003945CA" w:rsidRDefault="003945CA" w:rsidP="0031191A">
            <w:r>
              <w:t>Left before being seen</w:t>
            </w:r>
          </w:p>
        </w:tc>
        <w:tc>
          <w:tcPr>
            <w:tcW w:w="6753" w:type="dxa"/>
          </w:tcPr>
          <w:p w14:paraId="1016CF1E" w14:textId="77777777" w:rsidR="003945CA" w:rsidRDefault="003945CA" w:rsidP="0031191A">
            <w:r>
              <w:t>1132 (49.2%)             15 (11.4%)                   288 (16.8%)         1435 (34.6%)</w:t>
            </w:r>
          </w:p>
          <w:p w14:paraId="5614697F" w14:textId="77777777" w:rsidR="003945CA" w:rsidRDefault="003945CA" w:rsidP="0031191A">
            <w:r>
              <w:t>1115 (48.4%)             53 (70.0%)                 1076 (62.7%)         2261 (54.5%)</w:t>
            </w:r>
          </w:p>
          <w:p w14:paraId="681FFE6F" w14:textId="4F8FB61B" w:rsidR="003945CA" w:rsidRDefault="003945CA" w:rsidP="0031191A">
            <w:r>
              <w:t xml:space="preserve">       6 (0.3%)               </w:t>
            </w:r>
            <w:bookmarkStart w:id="0" w:name="_GoBack"/>
            <w:r w:rsidR="0083248F">
              <w:t>3</w:t>
            </w:r>
            <w:bookmarkEnd w:id="0"/>
            <w:r>
              <w:t>5 (26.5%)                   138 (6.0%)              179 (4.3%)</w:t>
            </w:r>
          </w:p>
          <w:p w14:paraId="2E70C53D" w14:textId="77777777" w:rsidR="003945CA" w:rsidRDefault="003945CA" w:rsidP="0031191A">
            <w:r>
              <w:t xml:space="preserve">       5 (0.2%)                  8 (6.1%)                       85 (5.0%)                98 (2.4%)</w:t>
            </w:r>
          </w:p>
          <w:p w14:paraId="374B71A1" w14:textId="77777777" w:rsidR="003945CA" w:rsidRDefault="003945CA" w:rsidP="0031191A">
            <w:r>
              <w:t xml:space="preserve">       3 (0.1%)                   1 (0.8%)                       15 (0.9%)                14 (0.5%)</w:t>
            </w:r>
          </w:p>
          <w:p w14:paraId="6452F75E" w14:textId="77777777" w:rsidR="003945CA" w:rsidRDefault="003945CA" w:rsidP="0031191A">
            <w:r>
              <w:t xml:space="preserve">       1 (0.1%)                   2 (1.5%)                         4 (0.2%)                  7 (0.2%)</w:t>
            </w:r>
          </w:p>
          <w:p w14:paraId="5DE8AEBB" w14:textId="77777777" w:rsidR="003945CA" w:rsidRDefault="003945CA" w:rsidP="0031191A">
            <w:r>
              <w:t xml:space="preserve">                                         1 (0.8%)                         1 (0.1%)                  2 (0.1%)</w:t>
            </w:r>
          </w:p>
          <w:p w14:paraId="4284371E" w14:textId="77777777" w:rsidR="003945CA" w:rsidRDefault="003945CA" w:rsidP="0031191A">
            <w:r>
              <w:t xml:space="preserve">     40 (1.7%)                                                       108 (6.3%)              148 (4.3%)</w:t>
            </w:r>
          </w:p>
        </w:tc>
      </w:tr>
    </w:tbl>
    <w:p w14:paraId="60BCE4AE" w14:textId="77777777" w:rsidR="003945CA" w:rsidRDefault="003945CA" w:rsidP="003945CA"/>
    <w:p w14:paraId="499DC2B3" w14:textId="63D365FC" w:rsidR="003945CA" w:rsidRPr="003B409A" w:rsidRDefault="003945CA" w:rsidP="003945CA">
      <w:r>
        <w:t>Table S</w:t>
      </w:r>
      <w:r w:rsidR="00662535">
        <w:t>3</w:t>
      </w:r>
      <w:r>
        <w:t>: Outcomes by PP analysis</w:t>
      </w:r>
    </w:p>
    <w:tbl>
      <w:tblPr>
        <w:tblStyle w:val="TableGrid"/>
        <w:tblW w:w="0" w:type="auto"/>
        <w:tblLook w:val="04A0" w:firstRow="1" w:lastRow="0" w:firstColumn="1" w:lastColumn="0" w:noHBand="0" w:noVBand="1"/>
      </w:tblPr>
      <w:tblGrid>
        <w:gridCol w:w="2263"/>
        <w:gridCol w:w="6753"/>
      </w:tblGrid>
      <w:tr w:rsidR="003945CA" w14:paraId="075A0D52" w14:textId="77777777" w:rsidTr="0031191A">
        <w:tc>
          <w:tcPr>
            <w:tcW w:w="2263" w:type="dxa"/>
          </w:tcPr>
          <w:p w14:paraId="44431E8D" w14:textId="77777777" w:rsidR="003945CA" w:rsidRPr="006F6123" w:rsidRDefault="003945CA" w:rsidP="0031191A">
            <w:pPr>
              <w:rPr>
                <w:b/>
                <w:i/>
              </w:rPr>
            </w:pPr>
            <w:r w:rsidRPr="006F6123">
              <w:rPr>
                <w:b/>
                <w:i/>
              </w:rPr>
              <w:t>Outcome</w:t>
            </w:r>
          </w:p>
        </w:tc>
        <w:tc>
          <w:tcPr>
            <w:tcW w:w="6753" w:type="dxa"/>
          </w:tcPr>
          <w:p w14:paraId="5DF7D2AD" w14:textId="77777777" w:rsidR="003945CA" w:rsidRDefault="003945CA" w:rsidP="0031191A">
            <w:r>
              <w:t xml:space="preserve">   GP hours                          ED                                  Odds ratio </w:t>
            </w:r>
          </w:p>
        </w:tc>
      </w:tr>
      <w:tr w:rsidR="003945CA" w14:paraId="5CEE0938" w14:textId="77777777" w:rsidTr="0031191A">
        <w:tc>
          <w:tcPr>
            <w:tcW w:w="2263" w:type="dxa"/>
          </w:tcPr>
          <w:p w14:paraId="24BDA76E" w14:textId="77777777" w:rsidR="003945CA" w:rsidRDefault="003945CA" w:rsidP="0031191A">
            <w:r>
              <w:t>Admitted</w:t>
            </w:r>
          </w:p>
          <w:p w14:paraId="1ACCF9FC" w14:textId="77777777" w:rsidR="003945CA" w:rsidRDefault="003945CA" w:rsidP="0031191A">
            <w:r>
              <w:t>Antibiotics</w:t>
            </w:r>
          </w:p>
          <w:p w14:paraId="449EF5EA" w14:textId="77777777" w:rsidR="003945CA" w:rsidRDefault="003945CA" w:rsidP="0031191A">
            <w:r>
              <w:t>Wait exceeded 4hrs</w:t>
            </w:r>
          </w:p>
          <w:p w14:paraId="214CE2C8" w14:textId="77777777" w:rsidR="003945CA" w:rsidRDefault="003945CA" w:rsidP="0031191A">
            <w:r>
              <w:t>Left before seen</w:t>
            </w:r>
          </w:p>
        </w:tc>
        <w:tc>
          <w:tcPr>
            <w:tcW w:w="6753" w:type="dxa"/>
          </w:tcPr>
          <w:p w14:paraId="1DA4E528" w14:textId="77777777" w:rsidR="003945CA" w:rsidRDefault="003945CA" w:rsidP="0031191A">
            <w:r>
              <w:t xml:space="preserve">   41 (1.7%)                      138 (8.0%)                    0.20 (0.14, 0.28)</w:t>
            </w:r>
          </w:p>
          <w:p w14:paraId="59F7E27B" w14:textId="77777777" w:rsidR="003945CA" w:rsidRDefault="003945CA" w:rsidP="0031191A">
            <w:r>
              <w:t xml:space="preserve"> 647 (27.0%)                   464 (17.5%)                   1.74 (1.48, 2.03)</w:t>
            </w:r>
          </w:p>
          <w:p w14:paraId="15B8764E" w14:textId="77777777" w:rsidR="003945CA" w:rsidRDefault="003945CA" w:rsidP="0031191A">
            <w:r>
              <w:t xml:space="preserve">   40 (1.6%)                      108 (6.3%)                      0.25 (0.17, 0.36)</w:t>
            </w:r>
          </w:p>
          <w:p w14:paraId="609F5E35" w14:textId="77777777" w:rsidR="003945CA" w:rsidRDefault="003945CA" w:rsidP="0031191A">
            <w:r>
              <w:t xml:space="preserve">   36 (1.5%)                        85 (5.0%)                      0.29 (0.19, 0.43)</w:t>
            </w:r>
          </w:p>
        </w:tc>
      </w:tr>
    </w:tbl>
    <w:p w14:paraId="32E48DC0" w14:textId="77777777" w:rsidR="003945CA" w:rsidRDefault="003945CA" w:rsidP="003945CA"/>
    <w:p w14:paraId="051EC184" w14:textId="3FFC561B" w:rsidR="003945CA" w:rsidRDefault="003945CA" w:rsidP="003945CA">
      <w:r>
        <w:t>Table S</w:t>
      </w:r>
      <w:r w:rsidR="00662535">
        <w:t>4</w:t>
      </w:r>
      <w:r>
        <w:t>: Sensitivity analysis of patients seen between 10:00 – 18:00 n=2781 by ITT analysis</w:t>
      </w:r>
    </w:p>
    <w:tbl>
      <w:tblPr>
        <w:tblStyle w:val="TableGrid"/>
        <w:tblW w:w="0" w:type="auto"/>
        <w:tblLook w:val="04A0" w:firstRow="1" w:lastRow="0" w:firstColumn="1" w:lastColumn="0" w:noHBand="0" w:noVBand="1"/>
      </w:tblPr>
      <w:tblGrid>
        <w:gridCol w:w="2122"/>
        <w:gridCol w:w="6894"/>
      </w:tblGrid>
      <w:tr w:rsidR="003945CA" w14:paraId="29A1F019" w14:textId="77777777" w:rsidTr="0031191A">
        <w:tc>
          <w:tcPr>
            <w:tcW w:w="2122" w:type="dxa"/>
          </w:tcPr>
          <w:p w14:paraId="07F2925D" w14:textId="77777777" w:rsidR="003945CA" w:rsidRPr="006F6123" w:rsidRDefault="003945CA" w:rsidP="0031191A">
            <w:pPr>
              <w:rPr>
                <w:b/>
                <w:i/>
              </w:rPr>
            </w:pPr>
            <w:r w:rsidRPr="006F6123">
              <w:rPr>
                <w:b/>
                <w:i/>
              </w:rPr>
              <w:t>Outcome</w:t>
            </w:r>
          </w:p>
        </w:tc>
        <w:tc>
          <w:tcPr>
            <w:tcW w:w="6894" w:type="dxa"/>
          </w:tcPr>
          <w:p w14:paraId="7FE5B01B" w14:textId="77777777" w:rsidR="003945CA" w:rsidRDefault="003945CA" w:rsidP="0031191A">
            <w:r>
              <w:t xml:space="preserve">   GP hours                          ED                                  Odds ratio </w:t>
            </w:r>
          </w:p>
        </w:tc>
      </w:tr>
      <w:tr w:rsidR="003945CA" w14:paraId="593023DE" w14:textId="77777777" w:rsidTr="0031191A">
        <w:tc>
          <w:tcPr>
            <w:tcW w:w="2122" w:type="dxa"/>
          </w:tcPr>
          <w:p w14:paraId="4484C553" w14:textId="77777777" w:rsidR="003945CA" w:rsidRDefault="003945CA" w:rsidP="0031191A">
            <w:r>
              <w:t>Admitted</w:t>
            </w:r>
          </w:p>
          <w:p w14:paraId="3492DD9D" w14:textId="77777777" w:rsidR="003945CA" w:rsidRDefault="003945CA" w:rsidP="0031191A">
            <w:r>
              <w:t>Antibiotics</w:t>
            </w:r>
          </w:p>
          <w:p w14:paraId="014CAF6C" w14:textId="77777777" w:rsidR="003945CA" w:rsidRDefault="003945CA" w:rsidP="0031191A">
            <w:r>
              <w:t>Wait exceeded 4hrs</w:t>
            </w:r>
          </w:p>
          <w:p w14:paraId="75F27E79" w14:textId="77777777" w:rsidR="003945CA" w:rsidRDefault="003945CA" w:rsidP="0031191A">
            <w:r>
              <w:t>Left before seen</w:t>
            </w:r>
          </w:p>
        </w:tc>
        <w:tc>
          <w:tcPr>
            <w:tcW w:w="6894" w:type="dxa"/>
          </w:tcPr>
          <w:p w14:paraId="72EAE9A8" w14:textId="77777777" w:rsidR="003945CA" w:rsidRDefault="003945CA" w:rsidP="0031191A">
            <w:r>
              <w:t xml:space="preserve">   30 (2.1%)                        65 (4.8%)                    0.44 (0.28, 0.67)</w:t>
            </w:r>
          </w:p>
          <w:p w14:paraId="3912C798" w14:textId="77777777" w:rsidR="003945CA" w:rsidRDefault="003945CA" w:rsidP="0031191A">
            <w:r>
              <w:t xml:space="preserve"> 390 (28.2%)                    298 (12.7%)                 1.33 (1.12, 1.59)</w:t>
            </w:r>
          </w:p>
          <w:p w14:paraId="207FEBE9" w14:textId="77777777" w:rsidR="003945CA" w:rsidRDefault="003945CA" w:rsidP="0031191A">
            <w:r>
              <w:t xml:space="preserve">    37 (2.6%)                        54 (4.0%)                   0.45 (0.33, 0.61) </w:t>
            </w:r>
          </w:p>
          <w:p w14:paraId="668A0D61" w14:textId="77777777" w:rsidR="003945CA" w:rsidRDefault="003945CA" w:rsidP="0031191A">
            <w:r>
              <w:t xml:space="preserve">    31 (2.2%)                        49 (3.6%)                   0.65 (0.43, 0.99)</w:t>
            </w:r>
          </w:p>
        </w:tc>
      </w:tr>
    </w:tbl>
    <w:p w14:paraId="26DCEF7D" w14:textId="77777777" w:rsidR="003945CA" w:rsidRDefault="003945CA" w:rsidP="003945CA"/>
    <w:p w14:paraId="04DC6136" w14:textId="4E801051" w:rsidR="003945CA" w:rsidRDefault="003945CA" w:rsidP="003945CA">
      <w:r>
        <w:lastRenderedPageBreak/>
        <w:t>Table S</w:t>
      </w:r>
      <w:r w:rsidR="00662535">
        <w:t>5</w:t>
      </w:r>
      <w:r>
        <w:t>: Sensitivity analysis of patients seen between 10:00 – 18:00 n=2781 by PP analysis</w:t>
      </w:r>
    </w:p>
    <w:tbl>
      <w:tblPr>
        <w:tblStyle w:val="TableGrid"/>
        <w:tblW w:w="0" w:type="auto"/>
        <w:tblLook w:val="04A0" w:firstRow="1" w:lastRow="0" w:firstColumn="1" w:lastColumn="0" w:noHBand="0" w:noVBand="1"/>
      </w:tblPr>
      <w:tblGrid>
        <w:gridCol w:w="2263"/>
        <w:gridCol w:w="6753"/>
      </w:tblGrid>
      <w:tr w:rsidR="003945CA" w14:paraId="56A7D1CA" w14:textId="77777777" w:rsidTr="0031191A">
        <w:tc>
          <w:tcPr>
            <w:tcW w:w="2263" w:type="dxa"/>
          </w:tcPr>
          <w:p w14:paraId="1589FD15" w14:textId="77777777" w:rsidR="003945CA" w:rsidRPr="006F6123" w:rsidRDefault="003945CA" w:rsidP="0031191A">
            <w:pPr>
              <w:rPr>
                <w:b/>
                <w:i/>
              </w:rPr>
            </w:pPr>
            <w:r w:rsidRPr="006F6123">
              <w:rPr>
                <w:b/>
                <w:i/>
              </w:rPr>
              <w:t>Outcome</w:t>
            </w:r>
          </w:p>
        </w:tc>
        <w:tc>
          <w:tcPr>
            <w:tcW w:w="6753" w:type="dxa"/>
          </w:tcPr>
          <w:p w14:paraId="69BEC566" w14:textId="77777777" w:rsidR="003945CA" w:rsidRDefault="003945CA" w:rsidP="0031191A">
            <w:r>
              <w:t xml:space="preserve">   GP hours                          ED                                  Odds ratio </w:t>
            </w:r>
          </w:p>
        </w:tc>
      </w:tr>
      <w:tr w:rsidR="003945CA" w14:paraId="19B5114B" w14:textId="77777777" w:rsidTr="0031191A">
        <w:tc>
          <w:tcPr>
            <w:tcW w:w="2263" w:type="dxa"/>
          </w:tcPr>
          <w:p w14:paraId="7F281642" w14:textId="77777777" w:rsidR="003945CA" w:rsidRDefault="003945CA" w:rsidP="0031191A">
            <w:r>
              <w:t>Admitted</w:t>
            </w:r>
          </w:p>
          <w:p w14:paraId="3FEAE70D" w14:textId="77777777" w:rsidR="003945CA" w:rsidRDefault="003945CA" w:rsidP="0031191A">
            <w:r>
              <w:t>Antibiotics</w:t>
            </w:r>
          </w:p>
          <w:p w14:paraId="31AEA7FA" w14:textId="77777777" w:rsidR="003945CA" w:rsidRDefault="003945CA" w:rsidP="0031191A">
            <w:r>
              <w:t>Wait exceeded 4hrs</w:t>
            </w:r>
          </w:p>
          <w:p w14:paraId="146EFBE3" w14:textId="77777777" w:rsidR="003945CA" w:rsidRDefault="003945CA" w:rsidP="0031191A">
            <w:r>
              <w:t>Left before seen</w:t>
            </w:r>
          </w:p>
        </w:tc>
        <w:tc>
          <w:tcPr>
            <w:tcW w:w="6753" w:type="dxa"/>
          </w:tcPr>
          <w:p w14:paraId="00C1F3AF" w14:textId="77777777" w:rsidR="003945CA" w:rsidRDefault="003945CA" w:rsidP="0031191A">
            <w:r>
              <w:t xml:space="preserve">   26 (2.0%)                       47 (6.9%)                      0.27 (0.17, 0.44)</w:t>
            </w:r>
          </w:p>
          <w:p w14:paraId="2BAE273D" w14:textId="77777777" w:rsidR="003945CA" w:rsidRDefault="003945CA" w:rsidP="0031191A">
            <w:r>
              <w:t xml:space="preserve"> 377 (28.8%)                   116 (17.6%)                   1.89 (1.50, 2.39)</w:t>
            </w:r>
          </w:p>
          <w:p w14:paraId="53241E82" w14:textId="77777777" w:rsidR="003945CA" w:rsidRDefault="003945CA" w:rsidP="0031191A">
            <w:r>
              <w:t xml:space="preserve">   29 (2.2%)                        14 (2.0%)                     1.07 (0.56, 2.03)</w:t>
            </w:r>
          </w:p>
          <w:p w14:paraId="2BB35448" w14:textId="77777777" w:rsidR="003945CA" w:rsidRDefault="003945CA" w:rsidP="0031191A">
            <w:r>
              <w:t xml:space="preserve">   28 (2.1%)                        26 (3.8%)                     0.54 (0.32, 0.93)</w:t>
            </w:r>
          </w:p>
        </w:tc>
      </w:tr>
    </w:tbl>
    <w:p w14:paraId="52653A7E" w14:textId="77777777" w:rsidR="003945CA" w:rsidRDefault="003945CA" w:rsidP="003945CA"/>
    <w:p w14:paraId="1081E239" w14:textId="21FECA58" w:rsidR="003945CA" w:rsidRDefault="003945CA" w:rsidP="003945CA">
      <w:pPr>
        <w:spacing w:line="240" w:lineRule="auto"/>
        <w:contextualSpacing/>
      </w:pPr>
      <w:r>
        <w:t>Table S</w:t>
      </w:r>
      <w:r w:rsidR="00662535">
        <w:t>6</w:t>
      </w:r>
      <w:r>
        <w:t>: Sensitivity analysis of patients seen between 10:00 – 18:00 n=2781 by ITT analysis</w:t>
      </w:r>
    </w:p>
    <w:p w14:paraId="61D04E24" w14:textId="77777777" w:rsidR="003945CA" w:rsidRDefault="003945CA" w:rsidP="003945CA">
      <w:pPr>
        <w:spacing w:line="240" w:lineRule="auto"/>
        <w:contextualSpacing/>
      </w:pPr>
      <w:r>
        <w:t>excluding patients with diagnosis of “other “</w:t>
      </w:r>
    </w:p>
    <w:p w14:paraId="0F52A614" w14:textId="77777777" w:rsidR="003945CA" w:rsidRDefault="003945CA" w:rsidP="003945CA">
      <w:pPr>
        <w:spacing w:line="240" w:lineRule="auto"/>
        <w:contextualSpacing/>
      </w:pPr>
    </w:p>
    <w:tbl>
      <w:tblPr>
        <w:tblStyle w:val="TableGrid"/>
        <w:tblW w:w="0" w:type="auto"/>
        <w:tblLook w:val="04A0" w:firstRow="1" w:lastRow="0" w:firstColumn="1" w:lastColumn="0" w:noHBand="0" w:noVBand="1"/>
      </w:tblPr>
      <w:tblGrid>
        <w:gridCol w:w="2122"/>
        <w:gridCol w:w="6894"/>
      </w:tblGrid>
      <w:tr w:rsidR="003945CA" w14:paraId="5C167AC6" w14:textId="77777777" w:rsidTr="0031191A">
        <w:tc>
          <w:tcPr>
            <w:tcW w:w="2122" w:type="dxa"/>
          </w:tcPr>
          <w:p w14:paraId="70BA0F6D" w14:textId="77777777" w:rsidR="003945CA" w:rsidRPr="006F6123" w:rsidRDefault="003945CA" w:rsidP="0031191A">
            <w:pPr>
              <w:rPr>
                <w:b/>
                <w:i/>
              </w:rPr>
            </w:pPr>
            <w:r w:rsidRPr="006F6123">
              <w:rPr>
                <w:b/>
                <w:i/>
              </w:rPr>
              <w:t>Outcome</w:t>
            </w:r>
          </w:p>
        </w:tc>
        <w:tc>
          <w:tcPr>
            <w:tcW w:w="6894" w:type="dxa"/>
          </w:tcPr>
          <w:p w14:paraId="2CEEB159" w14:textId="77777777" w:rsidR="003945CA" w:rsidRDefault="003945CA" w:rsidP="0031191A">
            <w:r>
              <w:t xml:space="preserve">   GP hours                          ED                                  Odds ratio </w:t>
            </w:r>
          </w:p>
        </w:tc>
      </w:tr>
      <w:tr w:rsidR="003945CA" w14:paraId="11D603F3" w14:textId="77777777" w:rsidTr="0031191A">
        <w:tc>
          <w:tcPr>
            <w:tcW w:w="2122" w:type="dxa"/>
          </w:tcPr>
          <w:p w14:paraId="6570D6CB" w14:textId="77777777" w:rsidR="003945CA" w:rsidRDefault="003945CA" w:rsidP="0031191A">
            <w:r>
              <w:t>Admitted</w:t>
            </w:r>
          </w:p>
          <w:p w14:paraId="34ED13EC" w14:textId="77777777" w:rsidR="003945CA" w:rsidRDefault="003945CA" w:rsidP="0031191A">
            <w:r>
              <w:t>Antibiotics</w:t>
            </w:r>
          </w:p>
          <w:p w14:paraId="062206FA" w14:textId="77777777" w:rsidR="003945CA" w:rsidRDefault="003945CA" w:rsidP="0031191A">
            <w:r>
              <w:t>Wait exceeded 4hrs</w:t>
            </w:r>
          </w:p>
          <w:p w14:paraId="627247CF" w14:textId="77777777" w:rsidR="003945CA" w:rsidRDefault="003945CA" w:rsidP="0031191A">
            <w:r>
              <w:t>Left before seen</w:t>
            </w:r>
          </w:p>
        </w:tc>
        <w:tc>
          <w:tcPr>
            <w:tcW w:w="6894" w:type="dxa"/>
          </w:tcPr>
          <w:p w14:paraId="5539C9BB" w14:textId="77777777" w:rsidR="003945CA" w:rsidRDefault="003945CA" w:rsidP="0031191A">
            <w:r>
              <w:t xml:space="preserve">   48 (1.8%)                        60 (2.8%)                    0.64 (0.44, 0.94)</w:t>
            </w:r>
          </w:p>
          <w:p w14:paraId="24FCFC9A" w14:textId="77777777" w:rsidR="003945CA" w:rsidRDefault="003945CA" w:rsidP="0031191A">
            <w:r>
              <w:t xml:space="preserve"> 690 (26.4%)                    435 (21.0%)                 1.75 (1.17, 1.54)</w:t>
            </w:r>
          </w:p>
          <w:p w14:paraId="1873687B" w14:textId="77777777" w:rsidR="003945CA" w:rsidRDefault="003945CA" w:rsidP="0031191A">
            <w:r>
              <w:t xml:space="preserve">    64 (2.4%)                      116 (5.4%)                   0.43 (0.32, 0.59) </w:t>
            </w:r>
          </w:p>
          <w:p w14:paraId="1E7BE391" w14:textId="77777777" w:rsidR="003945CA" w:rsidRDefault="003945CA" w:rsidP="0031191A">
            <w:r>
              <w:t xml:space="preserve">    72 (2.7%)                      103 (4.8%)                   0.55 (0.41, 0.75)</w:t>
            </w:r>
          </w:p>
        </w:tc>
      </w:tr>
    </w:tbl>
    <w:p w14:paraId="5A6245B0" w14:textId="77777777" w:rsidR="003945CA" w:rsidRDefault="003945CA" w:rsidP="003945CA"/>
    <w:p w14:paraId="07184490" w14:textId="77777777" w:rsidR="003945CA" w:rsidRDefault="003945CA" w:rsidP="003945CA"/>
    <w:p w14:paraId="490AF0B3" w14:textId="46A5606B" w:rsidR="003945CA" w:rsidRDefault="003945CA" w:rsidP="003945CA">
      <w:r>
        <w:t>Table S</w:t>
      </w:r>
      <w:r w:rsidR="00662535">
        <w:t>7</w:t>
      </w:r>
      <w:r>
        <w:t xml:space="preserve">: Sensitivity analysis of children stratified by age  </w:t>
      </w:r>
    </w:p>
    <w:tbl>
      <w:tblPr>
        <w:tblStyle w:val="TableGrid"/>
        <w:tblW w:w="0" w:type="auto"/>
        <w:tblLook w:val="04A0" w:firstRow="1" w:lastRow="0" w:firstColumn="1" w:lastColumn="0" w:noHBand="0" w:noVBand="1"/>
      </w:tblPr>
      <w:tblGrid>
        <w:gridCol w:w="2122"/>
        <w:gridCol w:w="6894"/>
      </w:tblGrid>
      <w:tr w:rsidR="003945CA" w14:paraId="6F799889" w14:textId="77777777" w:rsidTr="0031191A">
        <w:tc>
          <w:tcPr>
            <w:tcW w:w="2122" w:type="dxa"/>
          </w:tcPr>
          <w:p w14:paraId="43C0D932" w14:textId="77777777" w:rsidR="003945CA" w:rsidRPr="006F6123" w:rsidRDefault="003945CA" w:rsidP="0031191A">
            <w:pPr>
              <w:rPr>
                <w:b/>
                <w:i/>
              </w:rPr>
            </w:pPr>
            <w:r w:rsidRPr="006F6123">
              <w:rPr>
                <w:b/>
                <w:i/>
              </w:rPr>
              <w:t>Outcome</w:t>
            </w:r>
          </w:p>
        </w:tc>
        <w:tc>
          <w:tcPr>
            <w:tcW w:w="6894" w:type="dxa"/>
          </w:tcPr>
          <w:p w14:paraId="585928A8" w14:textId="77777777" w:rsidR="003945CA" w:rsidRDefault="003945CA" w:rsidP="0031191A">
            <w:r>
              <w:t xml:space="preserve">     &lt;=5                                     &gt;5                                 Odds ratio </w:t>
            </w:r>
          </w:p>
        </w:tc>
      </w:tr>
      <w:tr w:rsidR="003945CA" w14:paraId="17F435D1" w14:textId="77777777" w:rsidTr="0031191A">
        <w:tc>
          <w:tcPr>
            <w:tcW w:w="2122" w:type="dxa"/>
          </w:tcPr>
          <w:p w14:paraId="26DDA201" w14:textId="77777777" w:rsidR="003945CA" w:rsidRDefault="003945CA" w:rsidP="0031191A">
            <w:r>
              <w:t>Admitted</w:t>
            </w:r>
          </w:p>
          <w:p w14:paraId="1F9CB8F0" w14:textId="77777777" w:rsidR="003945CA" w:rsidRDefault="003945CA" w:rsidP="0031191A">
            <w:r>
              <w:t>Antibiotics</w:t>
            </w:r>
          </w:p>
          <w:p w14:paraId="5A6F87FB" w14:textId="77777777" w:rsidR="003945CA" w:rsidRDefault="003945CA" w:rsidP="0031191A">
            <w:r>
              <w:t>Wait exceeded 4hrs</w:t>
            </w:r>
          </w:p>
          <w:p w14:paraId="03C09C40" w14:textId="77777777" w:rsidR="003945CA" w:rsidRDefault="003945CA" w:rsidP="0031191A">
            <w:r>
              <w:t>Left before seen</w:t>
            </w:r>
          </w:p>
        </w:tc>
        <w:tc>
          <w:tcPr>
            <w:tcW w:w="6894" w:type="dxa"/>
          </w:tcPr>
          <w:p w14:paraId="0F370497" w14:textId="77777777" w:rsidR="003945CA" w:rsidRDefault="003945CA" w:rsidP="0031191A">
            <w:r>
              <w:t xml:space="preserve">   152 (4.2%)                      66 (4.1%)                    1.04 (0.77, 1.40)</w:t>
            </w:r>
          </w:p>
          <w:p w14:paraId="4CB7D751" w14:textId="77777777" w:rsidR="003945CA" w:rsidRDefault="003945CA" w:rsidP="0031191A">
            <w:r>
              <w:t xml:space="preserve">   827 (24.0%)                  350 (22.0%)                 1.09 (0.95, 1.26)</w:t>
            </w:r>
          </w:p>
          <w:p w14:paraId="43CC1CB0" w14:textId="77777777" w:rsidR="003945CA" w:rsidRDefault="003945CA" w:rsidP="0031191A">
            <w:r>
              <w:t xml:space="preserve">   130 (3.6%)                      58 (3.6%)                    1.01 (0.74, 1.38) </w:t>
            </w:r>
          </w:p>
          <w:p w14:paraId="087552C0" w14:textId="77777777" w:rsidR="003945CA" w:rsidRDefault="003945CA" w:rsidP="0031191A">
            <w:r>
              <w:t xml:space="preserve">   161 (4.5%)                      64 (4.0%)                    1.14 (0.85, 1.53)</w:t>
            </w:r>
          </w:p>
        </w:tc>
      </w:tr>
    </w:tbl>
    <w:p w14:paraId="0EC150E5" w14:textId="77777777" w:rsidR="003945CA" w:rsidRDefault="003945CA" w:rsidP="003945CA"/>
    <w:p w14:paraId="29491CFC" w14:textId="77777777" w:rsidR="007660AF" w:rsidRDefault="007660AF" w:rsidP="003945CA">
      <w:r>
        <w:t>Table S</w:t>
      </w:r>
      <w:r w:rsidR="00662535">
        <w:t>8</w:t>
      </w:r>
      <w:r>
        <w:t>: Sensitivity analysis with data split by first and second half of the month</w:t>
      </w:r>
    </w:p>
    <w:tbl>
      <w:tblPr>
        <w:tblStyle w:val="TableGrid"/>
        <w:tblW w:w="0" w:type="auto"/>
        <w:tblLook w:val="04A0" w:firstRow="1" w:lastRow="0" w:firstColumn="1" w:lastColumn="0" w:noHBand="0" w:noVBand="1"/>
      </w:tblPr>
      <w:tblGrid>
        <w:gridCol w:w="2122"/>
        <w:gridCol w:w="6894"/>
      </w:tblGrid>
      <w:tr w:rsidR="007660AF" w14:paraId="37C80173" w14:textId="77777777" w:rsidTr="00335A26">
        <w:tc>
          <w:tcPr>
            <w:tcW w:w="2122" w:type="dxa"/>
          </w:tcPr>
          <w:p w14:paraId="74E9C76F" w14:textId="77777777" w:rsidR="007660AF" w:rsidRPr="006F6123" w:rsidRDefault="007660AF" w:rsidP="00335A26">
            <w:pPr>
              <w:rPr>
                <w:b/>
                <w:i/>
              </w:rPr>
            </w:pPr>
            <w:r w:rsidRPr="006F6123">
              <w:rPr>
                <w:b/>
                <w:i/>
              </w:rPr>
              <w:t>Outcome</w:t>
            </w:r>
          </w:p>
        </w:tc>
        <w:tc>
          <w:tcPr>
            <w:tcW w:w="6894" w:type="dxa"/>
          </w:tcPr>
          <w:p w14:paraId="4794F000" w14:textId="77777777" w:rsidR="007660AF" w:rsidRDefault="007660AF" w:rsidP="00335A26">
            <w:r>
              <w:t xml:space="preserve">   GP 1</w:t>
            </w:r>
            <w:r w:rsidRPr="00C26225">
              <w:rPr>
                <w:vertAlign w:val="superscript"/>
              </w:rPr>
              <w:t>st</w:t>
            </w:r>
            <w:r>
              <w:t xml:space="preserve"> half                         GP  2</w:t>
            </w:r>
            <w:r w:rsidRPr="00C26225">
              <w:rPr>
                <w:vertAlign w:val="superscript"/>
              </w:rPr>
              <w:t>nd</w:t>
            </w:r>
            <w:r>
              <w:t xml:space="preserve"> half                     Odds ratio </w:t>
            </w:r>
          </w:p>
        </w:tc>
      </w:tr>
      <w:tr w:rsidR="007660AF" w14:paraId="3709A514" w14:textId="77777777" w:rsidTr="00335A26">
        <w:tc>
          <w:tcPr>
            <w:tcW w:w="2122" w:type="dxa"/>
          </w:tcPr>
          <w:p w14:paraId="0EEC5D44" w14:textId="77777777" w:rsidR="007660AF" w:rsidRDefault="007660AF" w:rsidP="00335A26">
            <w:r>
              <w:t>Admitted</w:t>
            </w:r>
          </w:p>
          <w:p w14:paraId="1CC2ADEE" w14:textId="77777777" w:rsidR="007660AF" w:rsidRDefault="007660AF" w:rsidP="00335A26">
            <w:r>
              <w:t>Antibiotics</w:t>
            </w:r>
          </w:p>
          <w:p w14:paraId="73974E16" w14:textId="77777777" w:rsidR="007660AF" w:rsidRDefault="007660AF" w:rsidP="00335A26">
            <w:r>
              <w:t>Wait exceeded 4hrs</w:t>
            </w:r>
          </w:p>
          <w:p w14:paraId="0E9B9EE7" w14:textId="77777777" w:rsidR="007660AF" w:rsidRDefault="007660AF" w:rsidP="00335A26">
            <w:r>
              <w:t>Left before seen</w:t>
            </w:r>
          </w:p>
        </w:tc>
        <w:tc>
          <w:tcPr>
            <w:tcW w:w="6894" w:type="dxa"/>
          </w:tcPr>
          <w:p w14:paraId="032BAF9B" w14:textId="77777777" w:rsidR="007660AF" w:rsidRDefault="007660AF" w:rsidP="00335A26">
            <w:r>
              <w:t xml:space="preserve">   28 (2.0%)                        34 (2.4%)                    1.18 (0.71, 1.96)</w:t>
            </w:r>
          </w:p>
          <w:p w14:paraId="3DFC7CD0" w14:textId="77777777" w:rsidR="007660AF" w:rsidRDefault="007660AF" w:rsidP="00335A26">
            <w:r>
              <w:t xml:space="preserve"> 362 (26.8%)                    351 (25.3%)                 0.93 (0.78, 1.10)</w:t>
            </w:r>
          </w:p>
          <w:p w14:paraId="1A4D178D" w14:textId="77777777" w:rsidR="007660AF" w:rsidRDefault="007660AF" w:rsidP="00335A26">
            <w:r>
              <w:t xml:space="preserve">    33 (2.4%)                        33 (2.3%)                   0.97 (0.59, 1.58) </w:t>
            </w:r>
          </w:p>
          <w:p w14:paraId="1A8D3A7E" w14:textId="77777777" w:rsidR="007660AF" w:rsidRDefault="007660AF" w:rsidP="00335A26">
            <w:r>
              <w:t xml:space="preserve">    42 (3.0%)                        46 (3.2%)                   1.06 (0.70, 1.63)</w:t>
            </w:r>
          </w:p>
        </w:tc>
      </w:tr>
    </w:tbl>
    <w:p w14:paraId="080EB7AD" w14:textId="77777777" w:rsidR="003945CA" w:rsidRDefault="003945CA" w:rsidP="003945CA"/>
    <w:p w14:paraId="37A91F4C" w14:textId="77777777" w:rsidR="003945CA" w:rsidRDefault="003945CA" w:rsidP="003945CA">
      <w:r>
        <w:t>Figure S1: Antibiotics prescribed to “GP appropriate” patients according to GP group and ED group by percentage of prescriptions</w:t>
      </w:r>
    </w:p>
    <w:p w14:paraId="6E2269F8" w14:textId="77777777" w:rsidR="003945CA" w:rsidRDefault="003945CA" w:rsidP="003945CA">
      <w:r w:rsidRPr="00802F8C">
        <w:rPr>
          <w:noProof/>
          <w:lang w:eastAsia="en-GB"/>
        </w:rPr>
        <w:lastRenderedPageBreak/>
        <w:drawing>
          <wp:inline distT="0" distB="0" distL="0" distR="0" wp14:anchorId="569458C2" wp14:editId="141DE2AC">
            <wp:extent cx="5731510" cy="45853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4585335"/>
                    </a:xfrm>
                    <a:prstGeom prst="rect">
                      <a:avLst/>
                    </a:prstGeom>
                  </pic:spPr>
                </pic:pic>
              </a:graphicData>
            </a:graphic>
          </wp:inline>
        </w:drawing>
      </w:r>
    </w:p>
    <w:p w14:paraId="3948343F" w14:textId="77777777" w:rsidR="003945CA" w:rsidRPr="003B409A" w:rsidRDefault="003945CA" w:rsidP="003945CA"/>
    <w:p w14:paraId="79C73D71" w14:textId="14794342" w:rsidR="00FF64AB" w:rsidRPr="00FF64AB" w:rsidRDefault="00FF64AB" w:rsidP="00FF64AB">
      <w:r w:rsidRPr="00FF64AB">
        <w:rPr>
          <w:lang w:val="en-US"/>
        </w:rPr>
        <w:t>Appendix</w:t>
      </w:r>
      <w:r>
        <w:rPr>
          <w:lang w:val="en-US"/>
        </w:rPr>
        <w:t xml:space="preserve"> S9</w:t>
      </w:r>
      <w:r w:rsidRPr="00FF64AB">
        <w:rPr>
          <w:lang w:val="en-US"/>
        </w:rPr>
        <w:t>: Assessing how big the unobserved confounding would need to be to change the estimated treatment effects significantly</w:t>
      </w:r>
      <w:r w:rsidRPr="00FF64AB">
        <w:t>.</w:t>
      </w:r>
    </w:p>
    <w:p w14:paraId="1FB73E0D" w14:textId="77777777" w:rsidR="00FF64AB" w:rsidRPr="00FF64AB" w:rsidRDefault="00FF64AB" w:rsidP="00FF64AB">
      <w:pPr>
        <w:rPr>
          <w:lang w:val="en-US"/>
        </w:rPr>
      </w:pPr>
      <w:r w:rsidRPr="00FF64AB">
        <w:t xml:space="preserve">The odds for admission comparing children seen in non-GP hours compared to GP hours was 1/0.32 = 3.125 95%CI 2.27 to 4.16. Following Ping 2016, </w:t>
      </w:r>
      <w:r w:rsidRPr="00FF64AB">
        <w:rPr>
          <w:lang w:val="en-US"/>
        </w:rPr>
        <w:t>we are interested in assessing if the observed OR of the exposure </w:t>
      </w:r>
      <w:r w:rsidRPr="00FF64AB">
        <w:rPr>
          <w:i/>
          <w:iCs/>
          <w:lang w:val="en-US"/>
        </w:rPr>
        <w:t>E</w:t>
      </w:r>
      <w:r w:rsidRPr="00FF64AB">
        <w:rPr>
          <w:lang w:val="en-US"/>
        </w:rPr>
        <w:t> on the outcome </w:t>
      </w:r>
      <w:r w:rsidRPr="00FF64AB">
        <w:rPr>
          <w:i/>
          <w:iCs/>
          <w:lang w:val="en-US"/>
        </w:rPr>
        <w:t>D</w:t>
      </w:r>
      <w:r w:rsidRPr="00FF64AB">
        <w:rPr>
          <w:lang w:val="en-US"/>
        </w:rPr>
        <w:t> might be completely due to the existence of a common confounder U.  For a binary unmeasured confounder to completely explain away the observed OR, both the exposure–confounder OR and the confounder–outcome OR would have to be at least 3.125. Let us now assume then that both the exposure–confounder OR and the confounder–outcome OR have the magnitude 3.125. The joint bounding factor is (3.125*3.125)</w:t>
      </w:r>
      <w:proofErr w:type="gramStart"/>
      <w:r w:rsidRPr="00FF64AB">
        <w:rPr>
          <w:lang w:val="en-US"/>
        </w:rPr>
        <w:t>/(</w:t>
      </w:r>
      <w:proofErr w:type="gramEnd"/>
      <w:r w:rsidRPr="00FF64AB">
        <w:rPr>
          <w:lang w:val="en-US"/>
        </w:rPr>
        <w:t>3.125 + 3.125 - 1) = 1.86. Even if we assume such a strong confounder, the point estimate of the causal OR of non-GP hours and admission must still be at least as large as 3.125/1.86 = 1.76 with confidence intervals 1.22 to 2.23. In fact, to explain away the point estimate of the observed OR of 3.125, the magnitude of OR</w:t>
      </w:r>
      <w:r w:rsidRPr="00FF64AB">
        <w:rPr>
          <w:i/>
          <w:iCs/>
          <w:vertAlign w:val="subscript"/>
          <w:lang w:val="en-US"/>
        </w:rPr>
        <w:t>EU</w:t>
      </w:r>
      <w:r w:rsidRPr="00FF64AB">
        <w:rPr>
          <w:lang w:val="en-US"/>
        </w:rPr>
        <w:t> and OR</w:t>
      </w:r>
      <w:r w:rsidRPr="00FF64AB">
        <w:rPr>
          <w:i/>
          <w:iCs/>
          <w:vertAlign w:val="subscript"/>
          <w:lang w:val="en-US"/>
        </w:rPr>
        <w:t>UD</w:t>
      </w:r>
      <w:r w:rsidRPr="00FF64AB">
        <w:rPr>
          <w:lang w:val="en-US"/>
        </w:rPr>
        <w:t> (if OR</w:t>
      </w:r>
      <w:r w:rsidRPr="00FF64AB">
        <w:rPr>
          <w:i/>
          <w:iCs/>
          <w:vertAlign w:val="subscript"/>
          <w:lang w:val="en-US"/>
        </w:rPr>
        <w:t>EU</w:t>
      </w:r>
      <w:r w:rsidRPr="00FF64AB">
        <w:rPr>
          <w:lang w:val="en-US"/>
        </w:rPr>
        <w:t> = OR</w:t>
      </w:r>
      <w:r w:rsidRPr="00FF64AB">
        <w:rPr>
          <w:i/>
          <w:iCs/>
          <w:vertAlign w:val="subscript"/>
          <w:lang w:val="en-US"/>
        </w:rPr>
        <w:t>UD</w:t>
      </w:r>
      <w:r w:rsidRPr="00FF64AB">
        <w:rPr>
          <w:lang w:val="en-US"/>
        </w:rPr>
        <w:t xml:space="preserve">) should be at least as large as 3.125 + </w:t>
      </w:r>
      <w:proofErr w:type="gramStart"/>
      <w:r w:rsidRPr="00FF64AB">
        <w:rPr>
          <w:lang w:val="en-US"/>
        </w:rPr>
        <w:t>sqrt(</w:t>
      </w:r>
      <w:proofErr w:type="gramEnd"/>
      <w:r w:rsidRPr="00FF64AB">
        <w:rPr>
          <w:lang w:val="en-US"/>
        </w:rPr>
        <w:t xml:space="preserve">3.125 - 1) = 4.58. And to explain away the lower confidence limit 2.27, these two confounding risks should be at least as large as 2.27 + </w:t>
      </w:r>
      <w:proofErr w:type="gramStart"/>
      <w:r w:rsidRPr="00FF64AB">
        <w:rPr>
          <w:lang w:val="en-US"/>
        </w:rPr>
        <w:t>sqrt(</w:t>
      </w:r>
      <w:proofErr w:type="gramEnd"/>
      <w:r w:rsidRPr="00FF64AB">
        <w:rPr>
          <w:lang w:val="en-US"/>
        </w:rPr>
        <w:t>2.27 - 1) = 3.4. Since these risks are relatively large, this provides some reassurance that are results are robust to unmeasured confounding.</w:t>
      </w:r>
    </w:p>
    <w:p w14:paraId="53D43CFB" w14:textId="77777777" w:rsidR="00FF64AB" w:rsidRPr="00FF64AB" w:rsidRDefault="00FF64AB" w:rsidP="00FF64AB">
      <w:pPr>
        <w:rPr>
          <w:lang w:val="en-US"/>
        </w:rPr>
      </w:pPr>
    </w:p>
    <w:p w14:paraId="2209371F" w14:textId="5170C987" w:rsidR="006631F1" w:rsidRDefault="00FF64AB">
      <w:r>
        <w:rPr>
          <w:lang w:val="en-US"/>
        </w:rPr>
        <w:t xml:space="preserve">Ref: </w:t>
      </w:r>
      <w:r w:rsidRPr="00FF64AB">
        <w:rPr>
          <w:lang w:val="en-US"/>
        </w:rPr>
        <w:t xml:space="preserve">Ping D, </w:t>
      </w:r>
      <w:proofErr w:type="spellStart"/>
      <w:r w:rsidRPr="00FF64AB">
        <w:rPr>
          <w:lang w:val="en-US"/>
        </w:rPr>
        <w:t>VanderWeele</w:t>
      </w:r>
      <w:proofErr w:type="spellEnd"/>
      <w:r w:rsidRPr="00FF64AB">
        <w:rPr>
          <w:lang w:val="en-US"/>
        </w:rPr>
        <w:t xml:space="preserve"> TJ. Epidemiology. Sensitivity Analysis Without Assumptions 2016 May; 27(3): 368–377.</w:t>
      </w:r>
    </w:p>
    <w:sectPr w:rsidR="00663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CA"/>
    <w:rsid w:val="00025C69"/>
    <w:rsid w:val="000A411D"/>
    <w:rsid w:val="000F7A7E"/>
    <w:rsid w:val="001102FF"/>
    <w:rsid w:val="0012135E"/>
    <w:rsid w:val="001C3375"/>
    <w:rsid w:val="003945CA"/>
    <w:rsid w:val="00662535"/>
    <w:rsid w:val="006F0FFF"/>
    <w:rsid w:val="00724A74"/>
    <w:rsid w:val="00734BE0"/>
    <w:rsid w:val="007660AF"/>
    <w:rsid w:val="0083248F"/>
    <w:rsid w:val="0087742E"/>
    <w:rsid w:val="009E313E"/>
    <w:rsid w:val="00A75901"/>
    <w:rsid w:val="00FF6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83E1"/>
  <w15:chartTrackingRefBased/>
  <w15:docId w15:val="{6560AE50-D415-454D-9B4D-77F32C70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 Enitan</dc:creator>
  <cp:keywords/>
  <dc:description/>
  <cp:lastModifiedBy>Carrol, Enitan</cp:lastModifiedBy>
  <cp:revision>2</cp:revision>
  <dcterms:created xsi:type="dcterms:W3CDTF">2017-08-29T13:57:00Z</dcterms:created>
  <dcterms:modified xsi:type="dcterms:W3CDTF">2017-08-29T13:57:00Z</dcterms:modified>
</cp:coreProperties>
</file>