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23380" w14:textId="7BB413DF" w:rsidR="00B32F59" w:rsidRPr="001B5BD3" w:rsidRDefault="0080037C">
      <w:pPr>
        <w:rPr>
          <w:rFonts w:ascii="Arial" w:hAnsi="Arial" w:cs="Arial"/>
          <w:b/>
          <w:sz w:val="18"/>
          <w:szCs w:val="18"/>
          <w:lang w:val="en-US"/>
        </w:rPr>
      </w:pPr>
      <w:bookmarkStart w:id="0" w:name="_GoBack"/>
      <w:bookmarkEnd w:id="0"/>
      <w:r w:rsidRPr="001B5BD3">
        <w:rPr>
          <w:rFonts w:ascii="Arial" w:hAnsi="Arial" w:cs="Arial"/>
          <w:b/>
          <w:sz w:val="18"/>
          <w:szCs w:val="18"/>
          <w:lang w:val="en-US"/>
        </w:rPr>
        <w:t>APPENDIX</w:t>
      </w:r>
      <w:r w:rsidR="00A25EB9" w:rsidRPr="001B5BD3">
        <w:rPr>
          <w:rFonts w:ascii="Arial" w:hAnsi="Arial" w:cs="Arial"/>
          <w:b/>
          <w:sz w:val="18"/>
          <w:szCs w:val="18"/>
          <w:lang w:val="en-US"/>
        </w:rPr>
        <w:t xml:space="preserve"> B</w:t>
      </w:r>
    </w:p>
    <w:p w14:paraId="466B55F6" w14:textId="77777777" w:rsidR="00A27E4A" w:rsidRPr="001B5BD3" w:rsidRDefault="00A27E4A">
      <w:pPr>
        <w:rPr>
          <w:rFonts w:ascii="Arial" w:hAnsi="Arial" w:cs="Arial"/>
          <w:b/>
          <w:sz w:val="18"/>
          <w:szCs w:val="18"/>
          <w:lang w:val="en-US"/>
        </w:rPr>
      </w:pPr>
    </w:p>
    <w:p w14:paraId="2C96696D" w14:textId="4D1B1099" w:rsidR="00A27E4A" w:rsidRPr="0080037C" w:rsidRDefault="00A27E4A" w:rsidP="00A27E4A">
      <w:pPr>
        <w:spacing w:after="240"/>
        <w:rPr>
          <w:rFonts w:ascii="Arial" w:hAnsi="Arial" w:cs="Arial"/>
          <w:b/>
          <w:sz w:val="18"/>
          <w:szCs w:val="18"/>
          <w:lang w:val="en-US"/>
        </w:rPr>
      </w:pPr>
      <w:r w:rsidRPr="00B32F59">
        <w:rPr>
          <w:rFonts w:ascii="Arial" w:hAnsi="Arial" w:cs="Arial"/>
          <w:b/>
          <w:sz w:val="18"/>
          <w:szCs w:val="18"/>
          <w:lang w:val="en-US"/>
        </w:rPr>
        <w:t xml:space="preserve">Table </w:t>
      </w:r>
      <w:r>
        <w:rPr>
          <w:rFonts w:ascii="Arial" w:hAnsi="Arial" w:cs="Arial"/>
          <w:b/>
          <w:sz w:val="18"/>
          <w:szCs w:val="18"/>
          <w:lang w:val="en-US"/>
        </w:rPr>
        <w:t>B</w:t>
      </w:r>
      <w:r w:rsidRPr="00B32F59">
        <w:rPr>
          <w:rFonts w:ascii="Arial" w:hAnsi="Arial" w:cs="Arial"/>
          <w:b/>
          <w:sz w:val="18"/>
          <w:szCs w:val="18"/>
          <w:lang w:val="en-US"/>
        </w:rPr>
        <w:t>.</w:t>
      </w:r>
      <w:r>
        <w:rPr>
          <w:rFonts w:ascii="Arial" w:hAnsi="Arial" w:cs="Arial"/>
          <w:b/>
          <w:sz w:val="18"/>
          <w:szCs w:val="18"/>
          <w:lang w:val="en-US"/>
        </w:rPr>
        <w:t>1</w:t>
      </w:r>
      <w:r w:rsidRPr="00B32F59">
        <w:rPr>
          <w:rFonts w:ascii="Arial" w:hAnsi="Arial" w:cs="Arial"/>
          <w:b/>
          <w:sz w:val="18"/>
          <w:szCs w:val="18"/>
          <w:lang w:val="en-US"/>
        </w:rPr>
        <w:t xml:space="preserve"> Characteristics </w:t>
      </w:r>
      <w:r>
        <w:rPr>
          <w:rFonts w:ascii="Arial" w:hAnsi="Arial" w:cs="Arial"/>
          <w:b/>
          <w:sz w:val="18"/>
          <w:szCs w:val="18"/>
          <w:lang w:val="en-US"/>
        </w:rPr>
        <w:t xml:space="preserve">of the </w:t>
      </w:r>
      <w:r w:rsidRPr="00B32F59">
        <w:rPr>
          <w:rFonts w:ascii="Arial" w:hAnsi="Arial" w:cs="Arial"/>
          <w:b/>
          <w:sz w:val="18"/>
          <w:szCs w:val="18"/>
          <w:lang w:val="en-US"/>
        </w:rPr>
        <w:t xml:space="preserve">participants </w:t>
      </w:r>
      <w:r>
        <w:rPr>
          <w:rFonts w:ascii="Arial" w:hAnsi="Arial" w:cs="Arial"/>
          <w:b/>
          <w:sz w:val="18"/>
          <w:szCs w:val="18"/>
          <w:lang w:val="en-US"/>
        </w:rPr>
        <w:t xml:space="preserve">in </w:t>
      </w:r>
      <w:r w:rsidRPr="00B32F59">
        <w:rPr>
          <w:rFonts w:ascii="Arial" w:hAnsi="Arial" w:cs="Arial"/>
          <w:b/>
          <w:sz w:val="18"/>
          <w:szCs w:val="18"/>
          <w:lang w:val="en-US"/>
        </w:rPr>
        <w:t>the Delphi panel</w:t>
      </w:r>
    </w:p>
    <w:tbl>
      <w:tblPr>
        <w:tblStyle w:val="Tabellrutnt"/>
        <w:tblW w:w="0" w:type="auto"/>
        <w:tblBorders>
          <w:top w:val="none" w:sz="0" w:space="0" w:color="auto"/>
          <w:left w:val="none" w:sz="0" w:space="0" w:color="auto"/>
          <w:insideH w:val="none" w:sz="0" w:space="0" w:color="auto"/>
        </w:tblBorders>
        <w:tblLook w:val="04A0" w:firstRow="1" w:lastRow="0" w:firstColumn="1" w:lastColumn="0" w:noHBand="0" w:noVBand="1"/>
      </w:tblPr>
      <w:tblGrid>
        <w:gridCol w:w="1809"/>
        <w:gridCol w:w="851"/>
        <w:gridCol w:w="2883"/>
        <w:gridCol w:w="3529"/>
      </w:tblGrid>
      <w:tr w:rsidR="00A27E4A" w:rsidRPr="00B32F59" w14:paraId="1BE445EA" w14:textId="77777777" w:rsidTr="001B5BD3">
        <w:tc>
          <w:tcPr>
            <w:tcW w:w="1809" w:type="dxa"/>
            <w:tcBorders>
              <w:top w:val="single" w:sz="4" w:space="0" w:color="auto"/>
              <w:bottom w:val="single" w:sz="4" w:space="0" w:color="auto"/>
              <w:right w:val="nil"/>
            </w:tcBorders>
            <w:shd w:val="clear" w:color="auto" w:fill="auto"/>
          </w:tcPr>
          <w:p w14:paraId="21575291" w14:textId="77777777" w:rsidR="00A27E4A" w:rsidRPr="0080037C" w:rsidRDefault="00A27E4A" w:rsidP="003B4D83">
            <w:pPr>
              <w:spacing w:before="240" w:after="240" w:line="240" w:lineRule="auto"/>
              <w:rPr>
                <w:rFonts w:ascii="Arial" w:hAnsi="Arial" w:cs="Arial"/>
                <w:b/>
                <w:sz w:val="16"/>
                <w:szCs w:val="16"/>
                <w:lang w:val="en-US"/>
              </w:rPr>
            </w:pPr>
            <w:r>
              <w:rPr>
                <w:rFonts w:ascii="Arial" w:hAnsi="Arial" w:cs="Arial"/>
                <w:b/>
                <w:sz w:val="16"/>
                <w:szCs w:val="16"/>
                <w:lang w:val="en-US"/>
              </w:rPr>
              <w:t>Type of p</w:t>
            </w:r>
            <w:r w:rsidRPr="0080037C">
              <w:rPr>
                <w:rFonts w:ascii="Arial" w:hAnsi="Arial" w:cs="Arial"/>
                <w:b/>
                <w:sz w:val="16"/>
                <w:szCs w:val="16"/>
                <w:lang w:val="en-US"/>
              </w:rPr>
              <w:t xml:space="preserve">rofessional </w:t>
            </w:r>
          </w:p>
        </w:tc>
        <w:tc>
          <w:tcPr>
            <w:tcW w:w="851" w:type="dxa"/>
            <w:tcBorders>
              <w:top w:val="single" w:sz="4" w:space="0" w:color="auto"/>
              <w:left w:val="nil"/>
              <w:bottom w:val="single" w:sz="4" w:space="0" w:color="auto"/>
              <w:right w:val="nil"/>
            </w:tcBorders>
            <w:shd w:val="clear" w:color="auto" w:fill="auto"/>
          </w:tcPr>
          <w:p w14:paraId="2E074198" w14:textId="77777777" w:rsidR="00A27E4A" w:rsidRPr="0080037C" w:rsidRDefault="00A27E4A" w:rsidP="003B4D83">
            <w:pPr>
              <w:spacing w:before="240" w:after="240" w:line="240" w:lineRule="auto"/>
              <w:rPr>
                <w:rFonts w:ascii="Arial" w:hAnsi="Arial" w:cs="Arial"/>
                <w:b/>
                <w:sz w:val="16"/>
                <w:szCs w:val="16"/>
                <w:lang w:val="en-US"/>
              </w:rPr>
            </w:pPr>
            <w:r w:rsidRPr="0080037C">
              <w:rPr>
                <w:rFonts w:ascii="Arial" w:hAnsi="Arial" w:cs="Arial"/>
                <w:b/>
                <w:sz w:val="16"/>
                <w:szCs w:val="16"/>
                <w:lang w:val="en-US"/>
              </w:rPr>
              <w:t>Number</w:t>
            </w:r>
          </w:p>
        </w:tc>
        <w:tc>
          <w:tcPr>
            <w:tcW w:w="2883" w:type="dxa"/>
            <w:tcBorders>
              <w:top w:val="single" w:sz="4" w:space="0" w:color="auto"/>
              <w:left w:val="nil"/>
              <w:bottom w:val="single" w:sz="4" w:space="0" w:color="auto"/>
              <w:right w:val="nil"/>
            </w:tcBorders>
            <w:shd w:val="clear" w:color="auto" w:fill="auto"/>
          </w:tcPr>
          <w:p w14:paraId="676C318B" w14:textId="77777777" w:rsidR="00A27E4A" w:rsidRPr="0080037C" w:rsidRDefault="00A27E4A" w:rsidP="003B4D83">
            <w:pPr>
              <w:spacing w:before="240" w:after="240" w:line="240" w:lineRule="auto"/>
              <w:rPr>
                <w:rFonts w:ascii="Arial" w:hAnsi="Arial" w:cs="Arial"/>
                <w:b/>
                <w:sz w:val="16"/>
                <w:szCs w:val="16"/>
                <w:lang w:val="en-US"/>
              </w:rPr>
            </w:pPr>
            <w:r w:rsidRPr="0080037C">
              <w:rPr>
                <w:rFonts w:ascii="Arial" w:hAnsi="Arial" w:cs="Arial"/>
                <w:b/>
                <w:sz w:val="16"/>
                <w:szCs w:val="16"/>
                <w:lang w:val="en-US"/>
              </w:rPr>
              <w:t>Expert area</w:t>
            </w:r>
          </w:p>
        </w:tc>
        <w:tc>
          <w:tcPr>
            <w:tcW w:w="3529" w:type="dxa"/>
            <w:tcBorders>
              <w:top w:val="single" w:sz="4" w:space="0" w:color="auto"/>
              <w:left w:val="nil"/>
              <w:bottom w:val="single" w:sz="4" w:space="0" w:color="auto"/>
              <w:right w:val="nil"/>
            </w:tcBorders>
            <w:shd w:val="clear" w:color="auto" w:fill="auto"/>
          </w:tcPr>
          <w:p w14:paraId="3CB58CB8" w14:textId="77777777" w:rsidR="00A27E4A" w:rsidRPr="0080037C" w:rsidRDefault="00A27E4A" w:rsidP="003B4D83">
            <w:pPr>
              <w:spacing w:before="240" w:after="240" w:line="240" w:lineRule="auto"/>
              <w:rPr>
                <w:rFonts w:ascii="Arial" w:hAnsi="Arial" w:cs="Arial"/>
                <w:b/>
                <w:sz w:val="16"/>
                <w:szCs w:val="16"/>
                <w:lang w:val="en-US"/>
              </w:rPr>
            </w:pPr>
            <w:r w:rsidRPr="0080037C">
              <w:rPr>
                <w:rFonts w:ascii="Arial" w:hAnsi="Arial" w:cs="Arial"/>
                <w:b/>
                <w:sz w:val="16"/>
                <w:szCs w:val="16"/>
                <w:lang w:val="en-US"/>
              </w:rPr>
              <w:t>Employer</w:t>
            </w:r>
          </w:p>
        </w:tc>
      </w:tr>
      <w:tr w:rsidR="00A27E4A" w:rsidRPr="00410077" w14:paraId="3440F75A" w14:textId="77777777" w:rsidTr="001B5BD3">
        <w:tc>
          <w:tcPr>
            <w:tcW w:w="1809" w:type="dxa"/>
            <w:tcBorders>
              <w:top w:val="single" w:sz="4" w:space="0" w:color="auto"/>
              <w:bottom w:val="nil"/>
              <w:right w:val="nil"/>
            </w:tcBorders>
            <w:vAlign w:val="bottom"/>
          </w:tcPr>
          <w:p w14:paraId="1F5AD809"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Registered nurses</w:t>
            </w:r>
          </w:p>
        </w:tc>
        <w:tc>
          <w:tcPr>
            <w:tcW w:w="851" w:type="dxa"/>
            <w:tcBorders>
              <w:top w:val="single" w:sz="4" w:space="0" w:color="auto"/>
              <w:left w:val="nil"/>
              <w:bottom w:val="nil"/>
              <w:right w:val="nil"/>
            </w:tcBorders>
            <w:vAlign w:val="bottom"/>
          </w:tcPr>
          <w:p w14:paraId="7B1E8351" w14:textId="77777777" w:rsidR="00A27E4A" w:rsidRPr="00B32F59" w:rsidRDefault="00A27E4A" w:rsidP="001B5BD3">
            <w:pPr>
              <w:spacing w:line="240" w:lineRule="auto"/>
              <w:rPr>
                <w:rFonts w:ascii="Arial" w:hAnsi="Arial" w:cs="Arial"/>
                <w:sz w:val="16"/>
                <w:szCs w:val="16"/>
                <w:lang w:val="en-US"/>
              </w:rPr>
            </w:pPr>
            <w:r>
              <w:rPr>
                <w:rFonts w:ascii="Arial" w:hAnsi="Arial" w:cs="Arial"/>
                <w:sz w:val="16"/>
                <w:szCs w:val="16"/>
                <w:lang w:val="en-US"/>
              </w:rPr>
              <w:t>22</w:t>
            </w:r>
          </w:p>
        </w:tc>
        <w:tc>
          <w:tcPr>
            <w:tcW w:w="2883" w:type="dxa"/>
            <w:tcBorders>
              <w:top w:val="single" w:sz="4" w:space="0" w:color="auto"/>
              <w:left w:val="nil"/>
              <w:bottom w:val="nil"/>
              <w:right w:val="nil"/>
            </w:tcBorders>
            <w:vAlign w:val="bottom"/>
          </w:tcPr>
          <w:p w14:paraId="5CA0C784"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Home healthcare</w:t>
            </w:r>
          </w:p>
        </w:tc>
        <w:tc>
          <w:tcPr>
            <w:tcW w:w="3529" w:type="dxa"/>
            <w:tcBorders>
              <w:top w:val="single" w:sz="4" w:space="0" w:color="auto"/>
              <w:left w:val="nil"/>
              <w:bottom w:val="nil"/>
              <w:right w:val="nil"/>
            </w:tcBorders>
            <w:vAlign w:val="bottom"/>
          </w:tcPr>
          <w:p w14:paraId="1F12EDFE" w14:textId="773BBD6D" w:rsidR="00A27E4A" w:rsidRPr="00B32F59" w:rsidRDefault="00A27E4A" w:rsidP="00FB1C22">
            <w:pPr>
              <w:spacing w:line="240" w:lineRule="auto"/>
              <w:rPr>
                <w:rFonts w:ascii="Arial" w:hAnsi="Arial" w:cs="Arial"/>
                <w:sz w:val="16"/>
                <w:szCs w:val="16"/>
                <w:lang w:val="en-US"/>
              </w:rPr>
            </w:pPr>
            <w:r w:rsidRPr="00B32F59">
              <w:rPr>
                <w:rFonts w:ascii="Arial" w:hAnsi="Arial" w:cs="Arial"/>
                <w:sz w:val="16"/>
                <w:szCs w:val="16"/>
                <w:lang w:val="en-GB"/>
              </w:rPr>
              <w:t xml:space="preserve">Municipal </w:t>
            </w:r>
            <w:r w:rsidR="00FB1C22">
              <w:rPr>
                <w:rFonts w:ascii="Arial" w:hAnsi="Arial" w:cs="Arial"/>
                <w:sz w:val="16"/>
                <w:szCs w:val="16"/>
                <w:lang w:val="en-GB"/>
              </w:rPr>
              <w:t xml:space="preserve">or </w:t>
            </w:r>
            <w:r w:rsidR="008B23E8">
              <w:rPr>
                <w:rFonts w:ascii="Arial" w:hAnsi="Arial" w:cs="Arial"/>
                <w:sz w:val="16"/>
                <w:szCs w:val="16"/>
                <w:lang w:val="en-GB"/>
              </w:rPr>
              <w:t>c</w:t>
            </w:r>
            <w:r>
              <w:rPr>
                <w:rFonts w:ascii="Arial" w:hAnsi="Arial" w:cs="Arial"/>
                <w:sz w:val="16"/>
                <w:szCs w:val="16"/>
                <w:lang w:val="en-GB"/>
              </w:rPr>
              <w:t xml:space="preserve">ounty </w:t>
            </w:r>
            <w:r w:rsidR="008B23E8">
              <w:rPr>
                <w:rFonts w:ascii="Arial" w:hAnsi="Arial" w:cs="Arial"/>
                <w:sz w:val="16"/>
                <w:szCs w:val="16"/>
                <w:lang w:val="en-GB"/>
              </w:rPr>
              <w:t>c</w:t>
            </w:r>
            <w:r>
              <w:rPr>
                <w:rFonts w:ascii="Arial" w:hAnsi="Arial" w:cs="Arial"/>
                <w:sz w:val="16"/>
                <w:szCs w:val="16"/>
                <w:lang w:val="en-GB"/>
              </w:rPr>
              <w:t xml:space="preserve">ouncil </w:t>
            </w:r>
            <w:r w:rsidRPr="00B32F59">
              <w:rPr>
                <w:rFonts w:ascii="Arial" w:hAnsi="Arial" w:cs="Arial"/>
                <w:sz w:val="16"/>
                <w:szCs w:val="16"/>
                <w:lang w:val="en-GB"/>
              </w:rPr>
              <w:t>home healthcare</w:t>
            </w:r>
          </w:p>
        </w:tc>
      </w:tr>
      <w:tr w:rsidR="00A27E4A" w:rsidRPr="00410077" w14:paraId="0FD41A8B" w14:textId="77777777" w:rsidTr="001B5BD3">
        <w:tc>
          <w:tcPr>
            <w:tcW w:w="1809" w:type="dxa"/>
            <w:tcBorders>
              <w:top w:val="nil"/>
              <w:bottom w:val="nil"/>
              <w:right w:val="nil"/>
            </w:tcBorders>
            <w:vAlign w:val="bottom"/>
          </w:tcPr>
          <w:p w14:paraId="3B5DF583"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Physicians</w:t>
            </w:r>
          </w:p>
        </w:tc>
        <w:tc>
          <w:tcPr>
            <w:tcW w:w="851" w:type="dxa"/>
            <w:tcBorders>
              <w:top w:val="nil"/>
              <w:left w:val="nil"/>
              <w:bottom w:val="nil"/>
              <w:right w:val="nil"/>
            </w:tcBorders>
            <w:vAlign w:val="bottom"/>
          </w:tcPr>
          <w:p w14:paraId="1EA076D0" w14:textId="77777777" w:rsidR="00A27E4A" w:rsidRPr="00B32F59" w:rsidRDefault="00A27E4A" w:rsidP="001B5BD3">
            <w:pPr>
              <w:spacing w:line="240" w:lineRule="auto"/>
              <w:rPr>
                <w:rFonts w:ascii="Arial" w:hAnsi="Arial" w:cs="Arial"/>
                <w:sz w:val="16"/>
                <w:szCs w:val="16"/>
                <w:lang w:val="en-US"/>
              </w:rPr>
            </w:pPr>
            <w:r>
              <w:rPr>
                <w:rFonts w:ascii="Arial" w:hAnsi="Arial" w:cs="Arial"/>
                <w:sz w:val="16"/>
                <w:szCs w:val="16"/>
                <w:lang w:val="en-US"/>
              </w:rPr>
              <w:t>6</w:t>
            </w:r>
          </w:p>
        </w:tc>
        <w:tc>
          <w:tcPr>
            <w:tcW w:w="2883" w:type="dxa"/>
            <w:tcBorders>
              <w:top w:val="nil"/>
              <w:left w:val="nil"/>
              <w:bottom w:val="nil"/>
              <w:right w:val="nil"/>
            </w:tcBorders>
            <w:vAlign w:val="bottom"/>
          </w:tcPr>
          <w:p w14:paraId="0CFAC356"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Home healthcare</w:t>
            </w:r>
          </w:p>
        </w:tc>
        <w:tc>
          <w:tcPr>
            <w:tcW w:w="3529" w:type="dxa"/>
            <w:tcBorders>
              <w:top w:val="nil"/>
              <w:left w:val="nil"/>
              <w:bottom w:val="nil"/>
              <w:right w:val="nil"/>
            </w:tcBorders>
            <w:vAlign w:val="bottom"/>
          </w:tcPr>
          <w:p w14:paraId="0B246F72" w14:textId="7E739697" w:rsidR="00A27E4A" w:rsidRPr="00B32F59" w:rsidRDefault="00A27E4A" w:rsidP="00FB1C22">
            <w:pPr>
              <w:spacing w:line="240" w:lineRule="auto"/>
              <w:rPr>
                <w:rFonts w:ascii="Arial" w:hAnsi="Arial" w:cs="Arial"/>
                <w:sz w:val="16"/>
                <w:szCs w:val="16"/>
                <w:lang w:val="en-GB"/>
              </w:rPr>
            </w:pPr>
            <w:r w:rsidRPr="00B32F59">
              <w:rPr>
                <w:rFonts w:ascii="Arial" w:hAnsi="Arial" w:cs="Arial"/>
                <w:sz w:val="16"/>
                <w:szCs w:val="16"/>
                <w:lang w:val="en-GB"/>
              </w:rPr>
              <w:t xml:space="preserve">Municipal </w:t>
            </w:r>
            <w:r w:rsidR="00FB1C22">
              <w:rPr>
                <w:rFonts w:ascii="Arial" w:hAnsi="Arial" w:cs="Arial"/>
                <w:sz w:val="16"/>
                <w:szCs w:val="16"/>
                <w:lang w:val="en-GB"/>
              </w:rPr>
              <w:t xml:space="preserve">or </w:t>
            </w:r>
            <w:r w:rsidR="008B23E8">
              <w:rPr>
                <w:rFonts w:ascii="Arial" w:hAnsi="Arial" w:cs="Arial"/>
                <w:sz w:val="16"/>
                <w:szCs w:val="16"/>
                <w:lang w:val="en-GB"/>
              </w:rPr>
              <w:t>c</w:t>
            </w:r>
            <w:r>
              <w:rPr>
                <w:rFonts w:ascii="Arial" w:hAnsi="Arial" w:cs="Arial"/>
                <w:sz w:val="16"/>
                <w:szCs w:val="16"/>
                <w:lang w:val="en-GB"/>
              </w:rPr>
              <w:t xml:space="preserve">ounty </w:t>
            </w:r>
            <w:r w:rsidR="008B23E8">
              <w:rPr>
                <w:rFonts w:ascii="Arial" w:hAnsi="Arial" w:cs="Arial"/>
                <w:sz w:val="16"/>
                <w:szCs w:val="16"/>
                <w:lang w:val="en-GB"/>
              </w:rPr>
              <w:t>c</w:t>
            </w:r>
            <w:r>
              <w:rPr>
                <w:rFonts w:ascii="Arial" w:hAnsi="Arial" w:cs="Arial"/>
                <w:sz w:val="16"/>
                <w:szCs w:val="16"/>
                <w:lang w:val="en-GB"/>
              </w:rPr>
              <w:t xml:space="preserve">ouncil </w:t>
            </w:r>
            <w:r w:rsidRPr="00B32F59">
              <w:rPr>
                <w:rFonts w:ascii="Arial" w:hAnsi="Arial" w:cs="Arial"/>
                <w:sz w:val="16"/>
                <w:szCs w:val="16"/>
                <w:lang w:val="en-GB"/>
              </w:rPr>
              <w:t>home healthcare</w:t>
            </w:r>
            <w:r>
              <w:rPr>
                <w:rFonts w:ascii="Arial" w:hAnsi="Arial" w:cs="Arial"/>
                <w:sz w:val="16"/>
                <w:szCs w:val="16"/>
                <w:lang w:val="en-GB"/>
              </w:rPr>
              <w:t xml:space="preserve">. One of the physicians </w:t>
            </w:r>
            <w:r w:rsidRPr="00B32F59">
              <w:rPr>
                <w:rFonts w:ascii="Arial" w:hAnsi="Arial" w:cs="Arial"/>
                <w:sz w:val="16"/>
                <w:szCs w:val="16"/>
                <w:lang w:val="en-GB"/>
              </w:rPr>
              <w:t>also represented</w:t>
            </w:r>
            <w:r w:rsidR="008B23E8">
              <w:rPr>
                <w:rFonts w:ascii="Arial" w:hAnsi="Arial" w:cs="Arial"/>
                <w:sz w:val="16"/>
                <w:szCs w:val="16"/>
                <w:lang w:val="en-GB"/>
              </w:rPr>
              <w:t xml:space="preserve"> the</w:t>
            </w:r>
            <w:r w:rsidRPr="00B32F59">
              <w:rPr>
                <w:rFonts w:ascii="Arial" w:hAnsi="Arial" w:cs="Arial"/>
                <w:sz w:val="16"/>
                <w:szCs w:val="16"/>
                <w:lang w:val="en-GB"/>
              </w:rPr>
              <w:t xml:space="preserve"> Swedish Medical Association</w:t>
            </w:r>
          </w:p>
        </w:tc>
      </w:tr>
      <w:tr w:rsidR="00A27E4A" w:rsidRPr="00410077" w14:paraId="0AFC82C5" w14:textId="77777777" w:rsidTr="001B5BD3">
        <w:tc>
          <w:tcPr>
            <w:tcW w:w="1809" w:type="dxa"/>
            <w:tcBorders>
              <w:top w:val="nil"/>
              <w:bottom w:val="nil"/>
              <w:right w:val="nil"/>
            </w:tcBorders>
            <w:vAlign w:val="bottom"/>
          </w:tcPr>
          <w:p w14:paraId="570B0DD4"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Registered nurses</w:t>
            </w:r>
          </w:p>
        </w:tc>
        <w:tc>
          <w:tcPr>
            <w:tcW w:w="851" w:type="dxa"/>
            <w:tcBorders>
              <w:top w:val="nil"/>
              <w:left w:val="nil"/>
              <w:bottom w:val="nil"/>
              <w:right w:val="nil"/>
            </w:tcBorders>
            <w:vAlign w:val="bottom"/>
          </w:tcPr>
          <w:p w14:paraId="5E1E54DB"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2</w:t>
            </w:r>
          </w:p>
        </w:tc>
        <w:tc>
          <w:tcPr>
            <w:tcW w:w="2883" w:type="dxa"/>
            <w:tcBorders>
              <w:top w:val="nil"/>
              <w:left w:val="nil"/>
              <w:bottom w:val="nil"/>
              <w:right w:val="nil"/>
            </w:tcBorders>
            <w:vAlign w:val="bottom"/>
          </w:tcPr>
          <w:p w14:paraId="4CAA4367"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Patient safety</w:t>
            </w:r>
          </w:p>
        </w:tc>
        <w:tc>
          <w:tcPr>
            <w:tcW w:w="3529" w:type="dxa"/>
            <w:tcBorders>
              <w:top w:val="nil"/>
              <w:left w:val="nil"/>
              <w:bottom w:val="nil"/>
              <w:right w:val="nil"/>
            </w:tcBorders>
            <w:vAlign w:val="bottom"/>
          </w:tcPr>
          <w:p w14:paraId="3AE8AB32"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noProof/>
                <w:sz w:val="16"/>
                <w:szCs w:val="16"/>
                <w:lang w:val="en-US"/>
              </w:rPr>
              <w:t>National Board of Health and Welfare</w:t>
            </w:r>
          </w:p>
        </w:tc>
      </w:tr>
      <w:tr w:rsidR="00A27E4A" w:rsidRPr="00410077" w14:paraId="7ADFE53D" w14:textId="77777777" w:rsidTr="001B5BD3">
        <w:tc>
          <w:tcPr>
            <w:tcW w:w="1809" w:type="dxa"/>
            <w:tcBorders>
              <w:top w:val="nil"/>
              <w:bottom w:val="nil"/>
              <w:right w:val="nil"/>
            </w:tcBorders>
            <w:vAlign w:val="bottom"/>
          </w:tcPr>
          <w:p w14:paraId="14317EBC"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Physician</w:t>
            </w:r>
          </w:p>
        </w:tc>
        <w:tc>
          <w:tcPr>
            <w:tcW w:w="851" w:type="dxa"/>
            <w:tcBorders>
              <w:top w:val="nil"/>
              <w:left w:val="nil"/>
              <w:bottom w:val="nil"/>
              <w:right w:val="nil"/>
            </w:tcBorders>
            <w:vAlign w:val="bottom"/>
          </w:tcPr>
          <w:p w14:paraId="49D7AA7E"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1</w:t>
            </w:r>
          </w:p>
        </w:tc>
        <w:tc>
          <w:tcPr>
            <w:tcW w:w="2883" w:type="dxa"/>
            <w:tcBorders>
              <w:top w:val="nil"/>
              <w:left w:val="nil"/>
              <w:bottom w:val="nil"/>
              <w:right w:val="nil"/>
            </w:tcBorders>
            <w:vAlign w:val="bottom"/>
          </w:tcPr>
          <w:p w14:paraId="71B48674" w14:textId="77777777" w:rsidR="00A27E4A" w:rsidRPr="00B32F59" w:rsidRDefault="00A27E4A" w:rsidP="001B5BD3">
            <w:pPr>
              <w:spacing w:line="240" w:lineRule="auto"/>
              <w:rPr>
                <w:rFonts w:ascii="Arial" w:hAnsi="Arial" w:cs="Arial"/>
                <w:sz w:val="16"/>
                <w:szCs w:val="16"/>
                <w:lang w:val="en-US"/>
              </w:rPr>
            </w:pPr>
            <w:r>
              <w:rPr>
                <w:rFonts w:ascii="Arial" w:hAnsi="Arial" w:cs="Arial"/>
                <w:sz w:val="16"/>
                <w:szCs w:val="16"/>
                <w:lang w:val="en-US"/>
              </w:rPr>
              <w:t>P</w:t>
            </w:r>
            <w:r w:rsidRPr="00B32F59">
              <w:rPr>
                <w:rFonts w:ascii="Arial" w:hAnsi="Arial" w:cs="Arial"/>
                <w:sz w:val="16"/>
                <w:szCs w:val="16"/>
                <w:lang w:val="en-US"/>
              </w:rPr>
              <w:t>atient safety</w:t>
            </w:r>
            <w:r>
              <w:rPr>
                <w:rFonts w:ascii="Arial" w:hAnsi="Arial" w:cs="Arial"/>
                <w:sz w:val="16"/>
                <w:szCs w:val="16"/>
                <w:lang w:val="en-US"/>
              </w:rPr>
              <w:t>,</w:t>
            </w:r>
            <w:r w:rsidRPr="00B32F59">
              <w:rPr>
                <w:rFonts w:ascii="Arial" w:hAnsi="Arial" w:cs="Arial"/>
                <w:sz w:val="16"/>
                <w:szCs w:val="16"/>
                <w:lang w:val="en-US"/>
              </w:rPr>
              <w:t xml:space="preserve"> RRR methodology</w:t>
            </w:r>
            <w:r>
              <w:rPr>
                <w:rFonts w:ascii="Arial" w:hAnsi="Arial" w:cs="Arial"/>
                <w:sz w:val="16"/>
                <w:szCs w:val="16"/>
                <w:lang w:val="en-US"/>
              </w:rPr>
              <w:t xml:space="preserve"> and TT design</w:t>
            </w:r>
          </w:p>
        </w:tc>
        <w:tc>
          <w:tcPr>
            <w:tcW w:w="3529" w:type="dxa"/>
            <w:tcBorders>
              <w:top w:val="nil"/>
              <w:left w:val="nil"/>
              <w:bottom w:val="nil"/>
              <w:right w:val="nil"/>
            </w:tcBorders>
            <w:vAlign w:val="bottom"/>
          </w:tcPr>
          <w:p w14:paraId="3596F273" w14:textId="77777777" w:rsidR="00A27E4A" w:rsidRPr="00B32F59" w:rsidRDefault="00A27E4A" w:rsidP="001B5BD3">
            <w:pPr>
              <w:spacing w:line="240" w:lineRule="auto"/>
              <w:rPr>
                <w:rFonts w:ascii="Arial" w:hAnsi="Arial" w:cs="Arial"/>
                <w:noProof/>
                <w:sz w:val="16"/>
                <w:szCs w:val="16"/>
                <w:lang w:val="en-US"/>
              </w:rPr>
            </w:pPr>
            <w:r w:rsidRPr="00B32F59">
              <w:rPr>
                <w:rFonts w:ascii="Arial" w:hAnsi="Arial" w:cs="Arial"/>
                <w:noProof/>
                <w:sz w:val="16"/>
                <w:szCs w:val="16"/>
                <w:lang w:val="en-US"/>
              </w:rPr>
              <w:t>National Board of Health and Welfare</w:t>
            </w:r>
          </w:p>
        </w:tc>
      </w:tr>
      <w:tr w:rsidR="00A27E4A" w:rsidRPr="00410077" w14:paraId="621AAD81" w14:textId="77777777" w:rsidTr="001B5BD3">
        <w:tc>
          <w:tcPr>
            <w:tcW w:w="1809" w:type="dxa"/>
            <w:tcBorders>
              <w:top w:val="nil"/>
              <w:bottom w:val="nil"/>
              <w:right w:val="nil"/>
            </w:tcBorders>
            <w:vAlign w:val="bottom"/>
          </w:tcPr>
          <w:p w14:paraId="7A6A4F97"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Registered nurse</w:t>
            </w:r>
          </w:p>
        </w:tc>
        <w:tc>
          <w:tcPr>
            <w:tcW w:w="851" w:type="dxa"/>
            <w:tcBorders>
              <w:top w:val="nil"/>
              <w:left w:val="nil"/>
              <w:bottom w:val="nil"/>
              <w:right w:val="nil"/>
            </w:tcBorders>
            <w:vAlign w:val="bottom"/>
          </w:tcPr>
          <w:p w14:paraId="5B7C4C90"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1</w:t>
            </w:r>
          </w:p>
        </w:tc>
        <w:tc>
          <w:tcPr>
            <w:tcW w:w="2883" w:type="dxa"/>
            <w:tcBorders>
              <w:top w:val="nil"/>
              <w:left w:val="nil"/>
              <w:bottom w:val="nil"/>
              <w:right w:val="nil"/>
            </w:tcBorders>
            <w:vAlign w:val="bottom"/>
          </w:tcPr>
          <w:p w14:paraId="4A922221" w14:textId="77777777" w:rsidR="00A27E4A" w:rsidRPr="00B32F59" w:rsidRDefault="00A27E4A" w:rsidP="001B5BD3">
            <w:pPr>
              <w:spacing w:line="240" w:lineRule="auto"/>
              <w:rPr>
                <w:rFonts w:ascii="Arial" w:hAnsi="Arial" w:cs="Arial"/>
                <w:sz w:val="16"/>
                <w:szCs w:val="16"/>
                <w:lang w:val="en-US"/>
              </w:rPr>
            </w:pPr>
            <w:r>
              <w:rPr>
                <w:rFonts w:ascii="Arial" w:hAnsi="Arial" w:cs="Arial"/>
                <w:sz w:val="16"/>
                <w:szCs w:val="16"/>
                <w:lang w:val="en-US"/>
              </w:rPr>
              <w:t>P</w:t>
            </w:r>
            <w:r w:rsidRPr="00B32F59">
              <w:rPr>
                <w:rFonts w:ascii="Arial" w:hAnsi="Arial" w:cs="Arial"/>
                <w:sz w:val="16"/>
                <w:szCs w:val="16"/>
                <w:lang w:val="en-US"/>
              </w:rPr>
              <w:t>atient safety</w:t>
            </w:r>
            <w:r>
              <w:rPr>
                <w:rFonts w:ascii="Arial" w:hAnsi="Arial" w:cs="Arial"/>
                <w:sz w:val="16"/>
                <w:szCs w:val="16"/>
                <w:lang w:val="en-US"/>
              </w:rPr>
              <w:t>,</w:t>
            </w:r>
            <w:r w:rsidRPr="00B32F59">
              <w:rPr>
                <w:rFonts w:ascii="Arial" w:hAnsi="Arial" w:cs="Arial"/>
                <w:sz w:val="16"/>
                <w:szCs w:val="16"/>
                <w:lang w:val="en-US"/>
              </w:rPr>
              <w:t xml:space="preserve"> RRR methodology</w:t>
            </w:r>
            <w:r>
              <w:rPr>
                <w:rFonts w:ascii="Arial" w:hAnsi="Arial" w:cs="Arial"/>
                <w:sz w:val="16"/>
                <w:szCs w:val="16"/>
                <w:lang w:val="en-US"/>
              </w:rPr>
              <w:t xml:space="preserve"> and TT design</w:t>
            </w:r>
          </w:p>
        </w:tc>
        <w:tc>
          <w:tcPr>
            <w:tcW w:w="3529" w:type="dxa"/>
            <w:tcBorders>
              <w:top w:val="nil"/>
              <w:left w:val="nil"/>
              <w:bottom w:val="nil"/>
              <w:right w:val="nil"/>
            </w:tcBorders>
            <w:vAlign w:val="bottom"/>
          </w:tcPr>
          <w:p w14:paraId="63342274" w14:textId="77777777" w:rsidR="00A27E4A" w:rsidRPr="00B32F59" w:rsidRDefault="00A27E4A" w:rsidP="001B5BD3">
            <w:pPr>
              <w:spacing w:line="240" w:lineRule="auto"/>
              <w:rPr>
                <w:rFonts w:ascii="Arial" w:hAnsi="Arial" w:cs="Arial"/>
                <w:noProof/>
                <w:sz w:val="16"/>
                <w:szCs w:val="16"/>
                <w:lang w:val="en-US"/>
              </w:rPr>
            </w:pPr>
            <w:r w:rsidRPr="00B32F59">
              <w:rPr>
                <w:rFonts w:ascii="Arial" w:hAnsi="Arial" w:cs="Arial"/>
                <w:sz w:val="16"/>
                <w:szCs w:val="16"/>
                <w:lang w:val="en-GB"/>
              </w:rPr>
              <w:t>Swedish Association of Local Authorities and Regions (SALAR)</w:t>
            </w:r>
          </w:p>
        </w:tc>
      </w:tr>
      <w:tr w:rsidR="00A27E4A" w:rsidRPr="00410077" w14:paraId="2F253313" w14:textId="77777777" w:rsidTr="001B5BD3">
        <w:tc>
          <w:tcPr>
            <w:tcW w:w="1809" w:type="dxa"/>
            <w:tcBorders>
              <w:top w:val="nil"/>
              <w:bottom w:val="nil"/>
              <w:right w:val="nil"/>
            </w:tcBorders>
            <w:vAlign w:val="bottom"/>
          </w:tcPr>
          <w:p w14:paraId="347F2740"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Physician</w:t>
            </w:r>
          </w:p>
        </w:tc>
        <w:tc>
          <w:tcPr>
            <w:tcW w:w="851" w:type="dxa"/>
            <w:tcBorders>
              <w:top w:val="nil"/>
              <w:left w:val="nil"/>
              <w:bottom w:val="nil"/>
              <w:right w:val="nil"/>
            </w:tcBorders>
            <w:vAlign w:val="bottom"/>
          </w:tcPr>
          <w:p w14:paraId="0D117F9F" w14:textId="77777777" w:rsidR="00A27E4A" w:rsidRPr="00B32F59" w:rsidRDefault="00A27E4A" w:rsidP="001B5BD3">
            <w:pPr>
              <w:spacing w:line="240" w:lineRule="auto"/>
              <w:rPr>
                <w:rFonts w:ascii="Arial" w:hAnsi="Arial" w:cs="Arial"/>
                <w:sz w:val="16"/>
                <w:szCs w:val="16"/>
                <w:lang w:val="en-US"/>
              </w:rPr>
            </w:pPr>
            <w:r>
              <w:rPr>
                <w:rFonts w:ascii="Arial" w:hAnsi="Arial" w:cs="Arial"/>
                <w:sz w:val="16"/>
                <w:szCs w:val="16"/>
                <w:lang w:val="en-US"/>
              </w:rPr>
              <w:t>1</w:t>
            </w:r>
          </w:p>
        </w:tc>
        <w:tc>
          <w:tcPr>
            <w:tcW w:w="2883" w:type="dxa"/>
            <w:tcBorders>
              <w:top w:val="nil"/>
              <w:left w:val="nil"/>
              <w:bottom w:val="nil"/>
              <w:right w:val="nil"/>
            </w:tcBorders>
            <w:vAlign w:val="bottom"/>
          </w:tcPr>
          <w:p w14:paraId="7359A12B" w14:textId="77777777" w:rsidR="00A27E4A" w:rsidRPr="00B32F59" w:rsidRDefault="00A27E4A" w:rsidP="001B5BD3">
            <w:pPr>
              <w:spacing w:line="240" w:lineRule="auto"/>
              <w:rPr>
                <w:rFonts w:ascii="Arial" w:hAnsi="Arial" w:cs="Arial"/>
                <w:sz w:val="16"/>
                <w:szCs w:val="16"/>
                <w:lang w:val="en-US"/>
              </w:rPr>
            </w:pPr>
            <w:r>
              <w:rPr>
                <w:rFonts w:ascii="Arial" w:hAnsi="Arial" w:cs="Arial"/>
                <w:sz w:val="16"/>
                <w:szCs w:val="16"/>
                <w:lang w:val="en-US"/>
              </w:rPr>
              <w:t xml:space="preserve">Patient safety and RRR </w:t>
            </w:r>
            <w:r w:rsidRPr="00B32F59">
              <w:rPr>
                <w:rFonts w:ascii="Arial" w:hAnsi="Arial" w:cs="Arial"/>
                <w:sz w:val="16"/>
                <w:szCs w:val="16"/>
                <w:lang w:val="en-US"/>
              </w:rPr>
              <w:t>methodology</w:t>
            </w:r>
          </w:p>
        </w:tc>
        <w:tc>
          <w:tcPr>
            <w:tcW w:w="3529" w:type="dxa"/>
            <w:tcBorders>
              <w:top w:val="nil"/>
              <w:left w:val="nil"/>
              <w:bottom w:val="nil"/>
              <w:right w:val="nil"/>
            </w:tcBorders>
            <w:vAlign w:val="bottom"/>
          </w:tcPr>
          <w:p w14:paraId="5088E77B"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GB"/>
              </w:rPr>
              <w:t>Swedish Association of Local Authorities and Regions (SALAR)</w:t>
            </w:r>
          </w:p>
        </w:tc>
      </w:tr>
      <w:tr w:rsidR="00A27E4A" w:rsidRPr="00410077" w14:paraId="2D517EB2" w14:textId="77777777" w:rsidTr="001B5BD3">
        <w:tc>
          <w:tcPr>
            <w:tcW w:w="1809" w:type="dxa"/>
            <w:tcBorders>
              <w:top w:val="nil"/>
              <w:bottom w:val="nil"/>
              <w:right w:val="nil"/>
            </w:tcBorders>
            <w:vAlign w:val="bottom"/>
          </w:tcPr>
          <w:p w14:paraId="41252E21"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Physician</w:t>
            </w:r>
          </w:p>
        </w:tc>
        <w:tc>
          <w:tcPr>
            <w:tcW w:w="851" w:type="dxa"/>
            <w:tcBorders>
              <w:top w:val="nil"/>
              <w:left w:val="nil"/>
              <w:bottom w:val="nil"/>
              <w:right w:val="nil"/>
            </w:tcBorders>
            <w:vAlign w:val="bottom"/>
          </w:tcPr>
          <w:p w14:paraId="4A6773BE" w14:textId="77777777" w:rsidR="00A27E4A" w:rsidRPr="00B32F59" w:rsidRDefault="00A27E4A" w:rsidP="001B5BD3">
            <w:pPr>
              <w:spacing w:line="240" w:lineRule="auto"/>
              <w:rPr>
                <w:rFonts w:ascii="Arial" w:hAnsi="Arial" w:cs="Arial"/>
                <w:sz w:val="16"/>
                <w:szCs w:val="16"/>
                <w:lang w:val="en-US"/>
              </w:rPr>
            </w:pPr>
            <w:r>
              <w:rPr>
                <w:rFonts w:ascii="Arial" w:hAnsi="Arial" w:cs="Arial"/>
                <w:sz w:val="16"/>
                <w:szCs w:val="16"/>
                <w:lang w:val="en-US"/>
              </w:rPr>
              <w:t>1</w:t>
            </w:r>
          </w:p>
        </w:tc>
        <w:tc>
          <w:tcPr>
            <w:tcW w:w="2883" w:type="dxa"/>
            <w:tcBorders>
              <w:top w:val="nil"/>
              <w:left w:val="nil"/>
              <w:bottom w:val="nil"/>
              <w:right w:val="nil"/>
            </w:tcBorders>
            <w:vAlign w:val="bottom"/>
          </w:tcPr>
          <w:p w14:paraId="7DD00BFF" w14:textId="77777777" w:rsidR="00A27E4A" w:rsidRPr="00B32F59" w:rsidRDefault="00A27E4A" w:rsidP="001B5BD3">
            <w:pPr>
              <w:spacing w:line="240" w:lineRule="auto"/>
              <w:rPr>
                <w:rFonts w:ascii="Arial" w:hAnsi="Arial" w:cs="Arial"/>
                <w:sz w:val="16"/>
                <w:szCs w:val="16"/>
                <w:lang w:val="en-US"/>
              </w:rPr>
            </w:pPr>
            <w:r>
              <w:rPr>
                <w:rFonts w:ascii="Arial" w:hAnsi="Arial" w:cs="Arial"/>
                <w:sz w:val="16"/>
                <w:szCs w:val="16"/>
                <w:lang w:val="en-US"/>
              </w:rPr>
              <w:t>P</w:t>
            </w:r>
            <w:r w:rsidRPr="00B32F59">
              <w:rPr>
                <w:rFonts w:ascii="Arial" w:hAnsi="Arial" w:cs="Arial"/>
                <w:sz w:val="16"/>
                <w:szCs w:val="16"/>
                <w:lang w:val="en-US"/>
              </w:rPr>
              <w:t>atient safety</w:t>
            </w:r>
            <w:r>
              <w:rPr>
                <w:rFonts w:ascii="Arial" w:hAnsi="Arial" w:cs="Arial"/>
                <w:sz w:val="16"/>
                <w:szCs w:val="16"/>
                <w:lang w:val="en-US"/>
              </w:rPr>
              <w:t>,</w:t>
            </w:r>
            <w:r w:rsidRPr="00B32F59">
              <w:rPr>
                <w:rFonts w:ascii="Arial" w:hAnsi="Arial" w:cs="Arial"/>
                <w:sz w:val="16"/>
                <w:szCs w:val="16"/>
                <w:lang w:val="en-US"/>
              </w:rPr>
              <w:t xml:space="preserve"> RRR methodology</w:t>
            </w:r>
            <w:r>
              <w:rPr>
                <w:rFonts w:ascii="Arial" w:hAnsi="Arial" w:cs="Arial"/>
                <w:sz w:val="16"/>
                <w:szCs w:val="16"/>
                <w:lang w:val="en-US"/>
              </w:rPr>
              <w:t xml:space="preserve"> and TT design</w:t>
            </w:r>
          </w:p>
        </w:tc>
        <w:tc>
          <w:tcPr>
            <w:tcW w:w="3529" w:type="dxa"/>
            <w:tcBorders>
              <w:top w:val="nil"/>
              <w:left w:val="nil"/>
              <w:bottom w:val="nil"/>
              <w:right w:val="nil"/>
            </w:tcBorders>
            <w:vAlign w:val="bottom"/>
          </w:tcPr>
          <w:p w14:paraId="31693CE2" w14:textId="77777777" w:rsidR="00A27E4A" w:rsidRPr="00B32F59" w:rsidRDefault="00A27E4A" w:rsidP="001B5BD3">
            <w:pPr>
              <w:spacing w:line="240" w:lineRule="auto"/>
              <w:rPr>
                <w:rFonts w:ascii="Arial" w:hAnsi="Arial" w:cs="Arial"/>
                <w:sz w:val="16"/>
                <w:szCs w:val="16"/>
                <w:lang w:val="en-GB"/>
              </w:rPr>
            </w:pPr>
            <w:r w:rsidRPr="00B32F59">
              <w:rPr>
                <w:rFonts w:ascii="Arial" w:hAnsi="Arial" w:cs="Arial"/>
                <w:sz w:val="16"/>
                <w:szCs w:val="16"/>
                <w:lang w:val="en-GB"/>
              </w:rPr>
              <w:t>Swedish Association of Local Authorities and Regions (SALAR)</w:t>
            </w:r>
          </w:p>
        </w:tc>
      </w:tr>
      <w:tr w:rsidR="00A27E4A" w:rsidRPr="00B32F59" w14:paraId="418FCBAB" w14:textId="77777777" w:rsidTr="001B5BD3">
        <w:tc>
          <w:tcPr>
            <w:tcW w:w="1809" w:type="dxa"/>
            <w:tcBorders>
              <w:top w:val="nil"/>
              <w:bottom w:val="nil"/>
              <w:right w:val="nil"/>
            </w:tcBorders>
            <w:vAlign w:val="bottom"/>
          </w:tcPr>
          <w:p w14:paraId="2A764F47"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Registered nurse</w:t>
            </w:r>
          </w:p>
        </w:tc>
        <w:tc>
          <w:tcPr>
            <w:tcW w:w="851" w:type="dxa"/>
            <w:tcBorders>
              <w:top w:val="nil"/>
              <w:left w:val="nil"/>
              <w:bottom w:val="nil"/>
              <w:right w:val="nil"/>
            </w:tcBorders>
            <w:vAlign w:val="bottom"/>
          </w:tcPr>
          <w:p w14:paraId="17CC1DC1"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1</w:t>
            </w:r>
          </w:p>
        </w:tc>
        <w:tc>
          <w:tcPr>
            <w:tcW w:w="2883" w:type="dxa"/>
            <w:tcBorders>
              <w:top w:val="nil"/>
              <w:left w:val="nil"/>
              <w:bottom w:val="nil"/>
              <w:right w:val="nil"/>
            </w:tcBorders>
            <w:vAlign w:val="bottom"/>
          </w:tcPr>
          <w:p w14:paraId="0C9E291E"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Patient safety and nursing</w:t>
            </w:r>
          </w:p>
        </w:tc>
        <w:tc>
          <w:tcPr>
            <w:tcW w:w="3529" w:type="dxa"/>
            <w:tcBorders>
              <w:top w:val="nil"/>
              <w:left w:val="nil"/>
              <w:bottom w:val="nil"/>
              <w:right w:val="nil"/>
            </w:tcBorders>
            <w:vAlign w:val="bottom"/>
          </w:tcPr>
          <w:p w14:paraId="2A9C19A0"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GB"/>
              </w:rPr>
              <w:t>Swedish Society of Nursing</w:t>
            </w:r>
          </w:p>
        </w:tc>
      </w:tr>
      <w:tr w:rsidR="00A27E4A" w:rsidRPr="00A25EB9" w14:paraId="395DD541" w14:textId="77777777" w:rsidTr="001B5BD3">
        <w:tc>
          <w:tcPr>
            <w:tcW w:w="1809" w:type="dxa"/>
            <w:tcBorders>
              <w:top w:val="nil"/>
              <w:bottom w:val="nil"/>
              <w:right w:val="nil"/>
            </w:tcBorders>
            <w:vAlign w:val="bottom"/>
          </w:tcPr>
          <w:p w14:paraId="44852FF8"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Registered nurse</w:t>
            </w:r>
          </w:p>
        </w:tc>
        <w:tc>
          <w:tcPr>
            <w:tcW w:w="851" w:type="dxa"/>
            <w:tcBorders>
              <w:top w:val="nil"/>
              <w:left w:val="nil"/>
              <w:bottom w:val="nil"/>
              <w:right w:val="nil"/>
            </w:tcBorders>
            <w:vAlign w:val="bottom"/>
          </w:tcPr>
          <w:p w14:paraId="448E168F"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1</w:t>
            </w:r>
          </w:p>
        </w:tc>
        <w:tc>
          <w:tcPr>
            <w:tcW w:w="2883" w:type="dxa"/>
            <w:tcBorders>
              <w:top w:val="nil"/>
              <w:left w:val="nil"/>
              <w:bottom w:val="nil"/>
              <w:right w:val="nil"/>
            </w:tcBorders>
            <w:vAlign w:val="bottom"/>
          </w:tcPr>
          <w:p w14:paraId="1A044125"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Patient safety and RRR methodology</w:t>
            </w:r>
          </w:p>
        </w:tc>
        <w:tc>
          <w:tcPr>
            <w:tcW w:w="3529" w:type="dxa"/>
            <w:tcBorders>
              <w:top w:val="nil"/>
              <w:left w:val="nil"/>
              <w:bottom w:val="nil"/>
              <w:right w:val="nil"/>
            </w:tcBorders>
            <w:vAlign w:val="bottom"/>
          </w:tcPr>
          <w:p w14:paraId="3043F013" w14:textId="77777777" w:rsidR="00A27E4A" w:rsidRPr="00B32F59" w:rsidRDefault="00A27E4A" w:rsidP="001B5BD3">
            <w:pPr>
              <w:spacing w:line="240" w:lineRule="auto"/>
              <w:rPr>
                <w:rFonts w:ascii="Arial" w:hAnsi="Arial" w:cs="Arial"/>
                <w:sz w:val="16"/>
                <w:szCs w:val="16"/>
                <w:lang w:val="en-GB"/>
              </w:rPr>
            </w:pPr>
            <w:r w:rsidRPr="00B32F59">
              <w:rPr>
                <w:rStyle w:val="shorttext"/>
                <w:rFonts w:ascii="Arial" w:hAnsi="Arial" w:cs="Arial"/>
                <w:color w:val="222222"/>
                <w:sz w:val="16"/>
                <w:szCs w:val="16"/>
                <w:lang w:val="en"/>
              </w:rPr>
              <w:t xml:space="preserve">Region </w:t>
            </w:r>
            <w:proofErr w:type="spellStart"/>
            <w:r w:rsidRPr="00B32F59">
              <w:rPr>
                <w:rStyle w:val="shorttext"/>
                <w:rFonts w:ascii="Arial" w:hAnsi="Arial" w:cs="Arial"/>
                <w:color w:val="222222"/>
                <w:sz w:val="16"/>
                <w:szCs w:val="16"/>
                <w:lang w:val="en"/>
              </w:rPr>
              <w:t>Östergötland</w:t>
            </w:r>
            <w:proofErr w:type="spellEnd"/>
          </w:p>
        </w:tc>
      </w:tr>
      <w:tr w:rsidR="00A27E4A" w:rsidRPr="00410077" w14:paraId="5F075BBE" w14:textId="77777777" w:rsidTr="001B5BD3">
        <w:tc>
          <w:tcPr>
            <w:tcW w:w="1809" w:type="dxa"/>
            <w:tcBorders>
              <w:top w:val="nil"/>
              <w:bottom w:val="nil"/>
              <w:right w:val="nil"/>
            </w:tcBorders>
            <w:vAlign w:val="bottom"/>
          </w:tcPr>
          <w:p w14:paraId="5FCAFBF9"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Registered nurse</w:t>
            </w:r>
          </w:p>
        </w:tc>
        <w:tc>
          <w:tcPr>
            <w:tcW w:w="851" w:type="dxa"/>
            <w:tcBorders>
              <w:top w:val="nil"/>
              <w:left w:val="nil"/>
              <w:bottom w:val="nil"/>
              <w:right w:val="nil"/>
            </w:tcBorders>
            <w:vAlign w:val="bottom"/>
          </w:tcPr>
          <w:p w14:paraId="093165BD"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1</w:t>
            </w:r>
          </w:p>
        </w:tc>
        <w:tc>
          <w:tcPr>
            <w:tcW w:w="2883" w:type="dxa"/>
            <w:tcBorders>
              <w:top w:val="nil"/>
              <w:left w:val="nil"/>
              <w:bottom w:val="nil"/>
              <w:right w:val="nil"/>
            </w:tcBorders>
            <w:vAlign w:val="bottom"/>
          </w:tcPr>
          <w:p w14:paraId="4718B4D0"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Home healthcare and patient safety</w:t>
            </w:r>
          </w:p>
        </w:tc>
        <w:tc>
          <w:tcPr>
            <w:tcW w:w="3529" w:type="dxa"/>
            <w:tcBorders>
              <w:top w:val="nil"/>
              <w:left w:val="nil"/>
              <w:bottom w:val="nil"/>
              <w:right w:val="nil"/>
            </w:tcBorders>
            <w:vAlign w:val="bottom"/>
          </w:tcPr>
          <w:p w14:paraId="19DD6F66" w14:textId="4C7442B3" w:rsidR="00A27E4A" w:rsidRPr="00B32F59" w:rsidRDefault="00A27E4A" w:rsidP="001B5BD3">
            <w:pPr>
              <w:spacing w:line="240" w:lineRule="auto"/>
              <w:rPr>
                <w:rFonts w:ascii="Arial" w:hAnsi="Arial" w:cs="Arial"/>
                <w:sz w:val="16"/>
                <w:szCs w:val="16"/>
                <w:lang w:val="en-US"/>
              </w:rPr>
            </w:pPr>
            <w:r w:rsidRPr="00B32F59">
              <w:rPr>
                <w:rStyle w:val="employee-page-department"/>
                <w:rFonts w:ascii="Arial" w:hAnsi="Arial" w:cs="Arial"/>
                <w:sz w:val="16"/>
                <w:szCs w:val="16"/>
                <w:lang w:val="en-US"/>
              </w:rPr>
              <w:t xml:space="preserve">Royal Institute of Technology and </w:t>
            </w:r>
            <w:proofErr w:type="spellStart"/>
            <w:r w:rsidRPr="00B32F59">
              <w:rPr>
                <w:rStyle w:val="employee-page-department"/>
                <w:rFonts w:ascii="Arial" w:hAnsi="Arial" w:cs="Arial"/>
                <w:sz w:val="16"/>
                <w:szCs w:val="16"/>
                <w:lang w:val="en-US"/>
              </w:rPr>
              <w:t>Ersta</w:t>
            </w:r>
            <w:proofErr w:type="spellEnd"/>
            <w:r w:rsidRPr="00B32F59">
              <w:rPr>
                <w:rStyle w:val="employee-page-department"/>
                <w:rFonts w:ascii="Arial" w:hAnsi="Arial" w:cs="Arial"/>
                <w:sz w:val="16"/>
                <w:szCs w:val="16"/>
                <w:lang w:val="en-US"/>
              </w:rPr>
              <w:t xml:space="preserve"> </w:t>
            </w:r>
            <w:proofErr w:type="spellStart"/>
            <w:r w:rsidRPr="00B32F59">
              <w:rPr>
                <w:rStyle w:val="employee-page-department"/>
                <w:rFonts w:ascii="Arial" w:hAnsi="Arial" w:cs="Arial"/>
                <w:sz w:val="16"/>
                <w:szCs w:val="16"/>
                <w:lang w:val="en-US"/>
              </w:rPr>
              <w:t>Sköndal</w:t>
            </w:r>
            <w:proofErr w:type="spellEnd"/>
            <w:r w:rsidRPr="00B32F59">
              <w:rPr>
                <w:rStyle w:val="employee-page-department"/>
                <w:rFonts w:ascii="Arial" w:hAnsi="Arial" w:cs="Arial"/>
                <w:sz w:val="16"/>
                <w:szCs w:val="16"/>
                <w:lang w:val="en-US"/>
              </w:rPr>
              <w:t xml:space="preserve"> </w:t>
            </w:r>
            <w:proofErr w:type="spellStart"/>
            <w:r w:rsidRPr="00B32F59">
              <w:rPr>
                <w:rStyle w:val="employee-page-department"/>
                <w:rFonts w:ascii="Arial" w:hAnsi="Arial" w:cs="Arial"/>
                <w:sz w:val="16"/>
                <w:szCs w:val="16"/>
                <w:lang w:val="en-US"/>
              </w:rPr>
              <w:t>Bräcke</w:t>
            </w:r>
            <w:proofErr w:type="spellEnd"/>
            <w:r w:rsidRPr="00B32F59">
              <w:rPr>
                <w:rStyle w:val="employee-page-department"/>
                <w:rFonts w:ascii="Arial" w:hAnsi="Arial" w:cs="Arial"/>
                <w:sz w:val="16"/>
                <w:szCs w:val="16"/>
                <w:lang w:val="en-US"/>
              </w:rPr>
              <w:t xml:space="preserve"> University College</w:t>
            </w:r>
          </w:p>
        </w:tc>
      </w:tr>
      <w:tr w:rsidR="00A27E4A" w:rsidRPr="00B32F59" w14:paraId="65150FCF" w14:textId="77777777" w:rsidTr="001B5BD3">
        <w:tc>
          <w:tcPr>
            <w:tcW w:w="1809" w:type="dxa"/>
            <w:tcBorders>
              <w:top w:val="nil"/>
              <w:bottom w:val="nil"/>
              <w:right w:val="nil"/>
            </w:tcBorders>
            <w:vAlign w:val="bottom"/>
          </w:tcPr>
          <w:p w14:paraId="38577100"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Registered nurse</w:t>
            </w:r>
          </w:p>
        </w:tc>
        <w:tc>
          <w:tcPr>
            <w:tcW w:w="851" w:type="dxa"/>
            <w:tcBorders>
              <w:top w:val="nil"/>
              <w:left w:val="nil"/>
              <w:bottom w:val="nil"/>
              <w:right w:val="nil"/>
            </w:tcBorders>
            <w:vAlign w:val="bottom"/>
          </w:tcPr>
          <w:p w14:paraId="0D96D2D6"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1</w:t>
            </w:r>
          </w:p>
        </w:tc>
        <w:tc>
          <w:tcPr>
            <w:tcW w:w="2883" w:type="dxa"/>
            <w:tcBorders>
              <w:top w:val="nil"/>
              <w:left w:val="nil"/>
              <w:bottom w:val="nil"/>
              <w:right w:val="nil"/>
            </w:tcBorders>
            <w:vAlign w:val="bottom"/>
          </w:tcPr>
          <w:p w14:paraId="6E231A4E"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Home healthcare and patient safety</w:t>
            </w:r>
          </w:p>
        </w:tc>
        <w:tc>
          <w:tcPr>
            <w:tcW w:w="3529" w:type="dxa"/>
            <w:tcBorders>
              <w:top w:val="nil"/>
              <w:left w:val="nil"/>
              <w:bottom w:val="nil"/>
              <w:right w:val="nil"/>
            </w:tcBorders>
            <w:vAlign w:val="bottom"/>
          </w:tcPr>
          <w:p w14:paraId="53B515E0" w14:textId="76CDDC8F" w:rsidR="00A27E4A" w:rsidRPr="00B32F59" w:rsidRDefault="00A27E4A" w:rsidP="001B5BD3">
            <w:pPr>
              <w:spacing w:line="240" w:lineRule="auto"/>
              <w:rPr>
                <w:rFonts w:ascii="Arial" w:hAnsi="Arial" w:cs="Arial"/>
                <w:sz w:val="16"/>
                <w:szCs w:val="16"/>
              </w:rPr>
            </w:pPr>
            <w:proofErr w:type="spellStart"/>
            <w:r w:rsidRPr="00B32F59">
              <w:rPr>
                <w:rStyle w:val="employee-page-department"/>
                <w:rFonts w:ascii="Arial" w:hAnsi="Arial" w:cs="Arial"/>
                <w:sz w:val="16"/>
                <w:szCs w:val="16"/>
              </w:rPr>
              <w:t>Linnaeus</w:t>
            </w:r>
            <w:proofErr w:type="spellEnd"/>
            <w:r w:rsidRPr="00B32F59">
              <w:rPr>
                <w:rStyle w:val="employee-page-department"/>
                <w:rFonts w:ascii="Arial" w:hAnsi="Arial" w:cs="Arial"/>
                <w:sz w:val="16"/>
                <w:szCs w:val="16"/>
              </w:rPr>
              <w:t xml:space="preserve"> University, Kalmar and </w:t>
            </w:r>
            <w:r w:rsidRPr="00B32F59">
              <w:rPr>
                <w:rFonts w:ascii="Arial" w:hAnsi="Arial" w:cs="Arial"/>
                <w:sz w:val="16"/>
                <w:szCs w:val="16"/>
              </w:rPr>
              <w:t>Karolinska Institutet, Stockholm</w:t>
            </w:r>
          </w:p>
        </w:tc>
      </w:tr>
      <w:tr w:rsidR="00A27E4A" w:rsidRPr="00B32F59" w14:paraId="2CA59D53" w14:textId="77777777" w:rsidTr="001B5BD3">
        <w:tc>
          <w:tcPr>
            <w:tcW w:w="1809" w:type="dxa"/>
            <w:tcBorders>
              <w:top w:val="nil"/>
              <w:bottom w:val="nil"/>
              <w:right w:val="nil"/>
            </w:tcBorders>
            <w:vAlign w:val="bottom"/>
          </w:tcPr>
          <w:p w14:paraId="740C6571"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Registered nurse</w:t>
            </w:r>
          </w:p>
        </w:tc>
        <w:tc>
          <w:tcPr>
            <w:tcW w:w="851" w:type="dxa"/>
            <w:tcBorders>
              <w:top w:val="nil"/>
              <w:left w:val="nil"/>
              <w:bottom w:val="nil"/>
              <w:right w:val="nil"/>
            </w:tcBorders>
            <w:vAlign w:val="bottom"/>
          </w:tcPr>
          <w:p w14:paraId="1A9C99D0"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1</w:t>
            </w:r>
          </w:p>
        </w:tc>
        <w:tc>
          <w:tcPr>
            <w:tcW w:w="2883" w:type="dxa"/>
            <w:tcBorders>
              <w:top w:val="nil"/>
              <w:left w:val="nil"/>
              <w:bottom w:val="nil"/>
              <w:right w:val="nil"/>
            </w:tcBorders>
            <w:vAlign w:val="bottom"/>
          </w:tcPr>
          <w:p w14:paraId="04C57A7C" w14:textId="77777777" w:rsidR="00A27E4A" w:rsidRPr="00B32F59" w:rsidRDefault="00A27E4A" w:rsidP="001B5BD3">
            <w:pPr>
              <w:spacing w:line="240" w:lineRule="auto"/>
              <w:rPr>
                <w:rFonts w:ascii="Arial" w:hAnsi="Arial" w:cs="Arial"/>
                <w:sz w:val="16"/>
                <w:szCs w:val="16"/>
                <w:lang w:val="en-US"/>
              </w:rPr>
            </w:pPr>
            <w:r>
              <w:rPr>
                <w:rFonts w:ascii="Arial" w:hAnsi="Arial" w:cs="Arial"/>
                <w:sz w:val="16"/>
                <w:szCs w:val="16"/>
                <w:lang w:val="en-US"/>
              </w:rPr>
              <w:t>P</w:t>
            </w:r>
            <w:r w:rsidRPr="00B32F59">
              <w:rPr>
                <w:rFonts w:ascii="Arial" w:hAnsi="Arial" w:cs="Arial"/>
                <w:sz w:val="16"/>
                <w:szCs w:val="16"/>
                <w:lang w:val="en-US"/>
              </w:rPr>
              <w:t>atient safety</w:t>
            </w:r>
            <w:r>
              <w:rPr>
                <w:rFonts w:ascii="Arial" w:hAnsi="Arial" w:cs="Arial"/>
                <w:sz w:val="16"/>
                <w:szCs w:val="16"/>
                <w:lang w:val="en-US"/>
              </w:rPr>
              <w:t>,</w:t>
            </w:r>
            <w:r w:rsidRPr="00B32F59">
              <w:rPr>
                <w:rFonts w:ascii="Arial" w:hAnsi="Arial" w:cs="Arial"/>
                <w:sz w:val="16"/>
                <w:szCs w:val="16"/>
                <w:lang w:val="en-US"/>
              </w:rPr>
              <w:t xml:space="preserve"> RRR methodology</w:t>
            </w:r>
            <w:r>
              <w:rPr>
                <w:rFonts w:ascii="Arial" w:hAnsi="Arial" w:cs="Arial"/>
                <w:sz w:val="16"/>
                <w:szCs w:val="16"/>
                <w:lang w:val="en-US"/>
              </w:rPr>
              <w:t xml:space="preserve"> and TT design</w:t>
            </w:r>
          </w:p>
        </w:tc>
        <w:tc>
          <w:tcPr>
            <w:tcW w:w="3529" w:type="dxa"/>
            <w:tcBorders>
              <w:top w:val="nil"/>
              <w:left w:val="nil"/>
              <w:bottom w:val="nil"/>
              <w:right w:val="nil"/>
            </w:tcBorders>
            <w:vAlign w:val="bottom"/>
          </w:tcPr>
          <w:p w14:paraId="26F8AA2F" w14:textId="7755BA2D" w:rsidR="00A27E4A" w:rsidRPr="00B32F59" w:rsidRDefault="00A27E4A" w:rsidP="001B5BD3">
            <w:pPr>
              <w:spacing w:line="240" w:lineRule="auto"/>
              <w:rPr>
                <w:rFonts w:ascii="Arial" w:hAnsi="Arial" w:cs="Arial"/>
                <w:sz w:val="16"/>
                <w:szCs w:val="16"/>
                <w:lang w:val="en-GB"/>
              </w:rPr>
            </w:pPr>
            <w:proofErr w:type="spellStart"/>
            <w:r w:rsidRPr="00B32F59">
              <w:rPr>
                <w:rStyle w:val="employee-page-department"/>
                <w:rFonts w:ascii="Arial" w:hAnsi="Arial" w:cs="Arial"/>
                <w:sz w:val="16"/>
                <w:szCs w:val="16"/>
              </w:rPr>
              <w:t>Linnaeus</w:t>
            </w:r>
            <w:proofErr w:type="spellEnd"/>
            <w:r w:rsidRPr="00B32F59">
              <w:rPr>
                <w:rStyle w:val="employee-page-department"/>
                <w:rFonts w:ascii="Arial" w:hAnsi="Arial" w:cs="Arial"/>
                <w:sz w:val="16"/>
                <w:szCs w:val="16"/>
              </w:rPr>
              <w:t xml:space="preserve"> University, Kalmar</w:t>
            </w:r>
          </w:p>
        </w:tc>
      </w:tr>
      <w:tr w:rsidR="00A27E4A" w:rsidRPr="00B32F59" w14:paraId="0335DF9E" w14:textId="77777777" w:rsidTr="001B5BD3">
        <w:tc>
          <w:tcPr>
            <w:tcW w:w="1809" w:type="dxa"/>
            <w:tcBorders>
              <w:top w:val="nil"/>
              <w:bottom w:val="nil"/>
              <w:right w:val="nil"/>
            </w:tcBorders>
            <w:vAlign w:val="bottom"/>
          </w:tcPr>
          <w:p w14:paraId="6891413B"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Registered nurse</w:t>
            </w:r>
          </w:p>
        </w:tc>
        <w:tc>
          <w:tcPr>
            <w:tcW w:w="851" w:type="dxa"/>
            <w:tcBorders>
              <w:top w:val="nil"/>
              <w:left w:val="nil"/>
              <w:bottom w:val="nil"/>
              <w:right w:val="nil"/>
            </w:tcBorders>
            <w:vAlign w:val="bottom"/>
          </w:tcPr>
          <w:p w14:paraId="27806A99"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1</w:t>
            </w:r>
          </w:p>
        </w:tc>
        <w:tc>
          <w:tcPr>
            <w:tcW w:w="2883" w:type="dxa"/>
            <w:tcBorders>
              <w:top w:val="nil"/>
              <w:left w:val="nil"/>
              <w:bottom w:val="nil"/>
              <w:right w:val="nil"/>
            </w:tcBorders>
            <w:vAlign w:val="bottom"/>
          </w:tcPr>
          <w:p w14:paraId="04863438" w14:textId="77777777" w:rsidR="00A27E4A" w:rsidRPr="00B32F59" w:rsidRDefault="00A27E4A" w:rsidP="001B5BD3">
            <w:pPr>
              <w:spacing w:line="240" w:lineRule="auto"/>
              <w:rPr>
                <w:rFonts w:ascii="Arial" w:hAnsi="Arial" w:cs="Arial"/>
                <w:sz w:val="16"/>
                <w:szCs w:val="16"/>
                <w:lang w:val="en-US"/>
              </w:rPr>
            </w:pPr>
            <w:r>
              <w:rPr>
                <w:rFonts w:ascii="Arial" w:hAnsi="Arial" w:cs="Arial"/>
                <w:sz w:val="16"/>
                <w:szCs w:val="16"/>
                <w:lang w:val="en-US"/>
              </w:rPr>
              <w:t>P</w:t>
            </w:r>
            <w:r w:rsidRPr="00B32F59">
              <w:rPr>
                <w:rFonts w:ascii="Arial" w:hAnsi="Arial" w:cs="Arial"/>
                <w:sz w:val="16"/>
                <w:szCs w:val="16"/>
                <w:lang w:val="en-US"/>
              </w:rPr>
              <w:t>atient safety</w:t>
            </w:r>
            <w:r>
              <w:rPr>
                <w:rFonts w:ascii="Arial" w:hAnsi="Arial" w:cs="Arial"/>
                <w:sz w:val="16"/>
                <w:szCs w:val="16"/>
                <w:lang w:val="en-US"/>
              </w:rPr>
              <w:t>,</w:t>
            </w:r>
            <w:r w:rsidRPr="00B32F59">
              <w:rPr>
                <w:rFonts w:ascii="Arial" w:hAnsi="Arial" w:cs="Arial"/>
                <w:sz w:val="16"/>
                <w:szCs w:val="16"/>
                <w:lang w:val="en-US"/>
              </w:rPr>
              <w:t xml:space="preserve"> RRR methodology</w:t>
            </w:r>
            <w:r>
              <w:rPr>
                <w:rFonts w:ascii="Arial" w:hAnsi="Arial" w:cs="Arial"/>
                <w:sz w:val="16"/>
                <w:szCs w:val="16"/>
                <w:lang w:val="en-US"/>
              </w:rPr>
              <w:t xml:space="preserve"> and TT design</w:t>
            </w:r>
          </w:p>
        </w:tc>
        <w:tc>
          <w:tcPr>
            <w:tcW w:w="3529" w:type="dxa"/>
            <w:tcBorders>
              <w:top w:val="nil"/>
              <w:left w:val="nil"/>
              <w:bottom w:val="nil"/>
              <w:right w:val="nil"/>
            </w:tcBorders>
            <w:vAlign w:val="bottom"/>
          </w:tcPr>
          <w:p w14:paraId="2B8E0A82" w14:textId="1E2690CF" w:rsidR="00A27E4A" w:rsidRPr="00B32F59" w:rsidRDefault="00A27E4A" w:rsidP="001B5BD3">
            <w:pPr>
              <w:spacing w:line="240" w:lineRule="auto"/>
              <w:rPr>
                <w:rFonts w:ascii="Arial" w:hAnsi="Arial" w:cs="Arial"/>
                <w:sz w:val="16"/>
                <w:szCs w:val="16"/>
              </w:rPr>
            </w:pPr>
            <w:r w:rsidRPr="00B32F59">
              <w:rPr>
                <w:rFonts w:ascii="Arial" w:hAnsi="Arial" w:cs="Arial"/>
                <w:sz w:val="16"/>
                <w:szCs w:val="16"/>
              </w:rPr>
              <w:t>Danderyd Hospital and Karolinska Institutet</w:t>
            </w:r>
          </w:p>
        </w:tc>
      </w:tr>
      <w:tr w:rsidR="00A27E4A" w:rsidRPr="00410077" w14:paraId="6FB95A88" w14:textId="77777777" w:rsidTr="001B5BD3">
        <w:tc>
          <w:tcPr>
            <w:tcW w:w="1809" w:type="dxa"/>
            <w:tcBorders>
              <w:top w:val="nil"/>
              <w:bottom w:val="single" w:sz="4" w:space="0" w:color="auto"/>
              <w:right w:val="nil"/>
            </w:tcBorders>
            <w:vAlign w:val="bottom"/>
          </w:tcPr>
          <w:p w14:paraId="44D06154"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Physician</w:t>
            </w:r>
          </w:p>
        </w:tc>
        <w:tc>
          <w:tcPr>
            <w:tcW w:w="851" w:type="dxa"/>
            <w:tcBorders>
              <w:top w:val="nil"/>
              <w:left w:val="nil"/>
              <w:bottom w:val="single" w:sz="4" w:space="0" w:color="auto"/>
              <w:right w:val="nil"/>
            </w:tcBorders>
            <w:vAlign w:val="bottom"/>
          </w:tcPr>
          <w:p w14:paraId="09329E73" w14:textId="77777777" w:rsidR="00A27E4A" w:rsidRPr="00B32F59" w:rsidRDefault="00A27E4A" w:rsidP="001B5BD3">
            <w:pPr>
              <w:spacing w:line="240" w:lineRule="auto"/>
              <w:rPr>
                <w:rFonts w:ascii="Arial" w:hAnsi="Arial" w:cs="Arial"/>
                <w:sz w:val="16"/>
                <w:szCs w:val="16"/>
                <w:lang w:val="en-US"/>
              </w:rPr>
            </w:pPr>
            <w:r w:rsidRPr="00B32F59">
              <w:rPr>
                <w:rFonts w:ascii="Arial" w:hAnsi="Arial" w:cs="Arial"/>
                <w:sz w:val="16"/>
                <w:szCs w:val="16"/>
                <w:lang w:val="en-US"/>
              </w:rPr>
              <w:t>1</w:t>
            </w:r>
          </w:p>
        </w:tc>
        <w:tc>
          <w:tcPr>
            <w:tcW w:w="2883" w:type="dxa"/>
            <w:tcBorders>
              <w:top w:val="nil"/>
              <w:left w:val="nil"/>
              <w:bottom w:val="single" w:sz="4" w:space="0" w:color="auto"/>
              <w:right w:val="nil"/>
            </w:tcBorders>
            <w:vAlign w:val="bottom"/>
          </w:tcPr>
          <w:p w14:paraId="75F55E77" w14:textId="77777777" w:rsidR="00A27E4A" w:rsidRPr="00B32F59" w:rsidRDefault="00A27E4A" w:rsidP="001B5BD3">
            <w:pPr>
              <w:spacing w:line="240" w:lineRule="auto"/>
              <w:rPr>
                <w:rFonts w:ascii="Arial" w:hAnsi="Arial" w:cs="Arial"/>
                <w:sz w:val="16"/>
                <w:szCs w:val="16"/>
                <w:lang w:val="en-US"/>
              </w:rPr>
            </w:pPr>
            <w:r>
              <w:rPr>
                <w:rFonts w:ascii="Arial" w:hAnsi="Arial" w:cs="Arial"/>
                <w:sz w:val="16"/>
                <w:szCs w:val="16"/>
                <w:lang w:val="en-US"/>
              </w:rPr>
              <w:t>P</w:t>
            </w:r>
            <w:r w:rsidRPr="00B32F59">
              <w:rPr>
                <w:rFonts w:ascii="Arial" w:hAnsi="Arial" w:cs="Arial"/>
                <w:sz w:val="16"/>
                <w:szCs w:val="16"/>
                <w:lang w:val="en-US"/>
              </w:rPr>
              <w:t>atient safety</w:t>
            </w:r>
            <w:r>
              <w:rPr>
                <w:rFonts w:ascii="Arial" w:hAnsi="Arial" w:cs="Arial"/>
                <w:sz w:val="16"/>
                <w:szCs w:val="16"/>
                <w:lang w:val="en-US"/>
              </w:rPr>
              <w:t>,</w:t>
            </w:r>
            <w:r w:rsidRPr="00B32F59">
              <w:rPr>
                <w:rFonts w:ascii="Arial" w:hAnsi="Arial" w:cs="Arial"/>
                <w:sz w:val="16"/>
                <w:szCs w:val="16"/>
                <w:lang w:val="en-US"/>
              </w:rPr>
              <w:t xml:space="preserve"> RRR methodology</w:t>
            </w:r>
            <w:r>
              <w:rPr>
                <w:rFonts w:ascii="Arial" w:hAnsi="Arial" w:cs="Arial"/>
                <w:sz w:val="16"/>
                <w:szCs w:val="16"/>
                <w:lang w:val="en-US"/>
              </w:rPr>
              <w:t xml:space="preserve"> and TT design</w:t>
            </w:r>
          </w:p>
        </w:tc>
        <w:tc>
          <w:tcPr>
            <w:tcW w:w="3529" w:type="dxa"/>
            <w:tcBorders>
              <w:top w:val="nil"/>
              <w:left w:val="nil"/>
              <w:bottom w:val="single" w:sz="4" w:space="0" w:color="auto"/>
              <w:right w:val="nil"/>
            </w:tcBorders>
            <w:vAlign w:val="bottom"/>
          </w:tcPr>
          <w:p w14:paraId="61360060" w14:textId="0CA4BE60" w:rsidR="00A27E4A" w:rsidRPr="00B32F59" w:rsidRDefault="00A27E4A" w:rsidP="001B5BD3">
            <w:pPr>
              <w:spacing w:line="240" w:lineRule="auto"/>
              <w:rPr>
                <w:rFonts w:ascii="Arial" w:hAnsi="Arial" w:cs="Arial"/>
                <w:sz w:val="16"/>
                <w:szCs w:val="16"/>
                <w:lang w:val="en-GB"/>
              </w:rPr>
            </w:pPr>
            <w:r>
              <w:rPr>
                <w:rFonts w:ascii="Arial" w:hAnsi="Arial" w:cs="Arial"/>
                <w:sz w:val="16"/>
                <w:szCs w:val="16"/>
                <w:lang w:val="en-GB"/>
              </w:rPr>
              <w:t>Linköping University Hospital and</w:t>
            </w:r>
            <w:r w:rsidRPr="00B32F59">
              <w:rPr>
                <w:rFonts w:ascii="Arial" w:hAnsi="Arial" w:cs="Arial"/>
                <w:sz w:val="16"/>
                <w:szCs w:val="16"/>
                <w:lang w:val="en-GB"/>
              </w:rPr>
              <w:t xml:space="preserve"> Linköping University</w:t>
            </w:r>
          </w:p>
        </w:tc>
      </w:tr>
    </w:tbl>
    <w:p w14:paraId="34D316AE" w14:textId="49552704" w:rsidR="00A27E4A" w:rsidRPr="00B32F59" w:rsidRDefault="00A27E4A" w:rsidP="00A27E4A">
      <w:pPr>
        <w:rPr>
          <w:rFonts w:ascii="Arial" w:hAnsi="Arial" w:cs="Arial"/>
          <w:sz w:val="16"/>
          <w:szCs w:val="16"/>
          <w:lang w:val="en-GB"/>
        </w:rPr>
      </w:pPr>
      <w:r w:rsidRPr="00B32F59">
        <w:rPr>
          <w:rFonts w:ascii="Arial" w:hAnsi="Arial" w:cs="Arial"/>
          <w:sz w:val="16"/>
          <w:szCs w:val="16"/>
          <w:lang w:val="en-US"/>
        </w:rPr>
        <w:t>RRR</w:t>
      </w:r>
      <w:r w:rsidR="008B23E8">
        <w:rPr>
          <w:rFonts w:ascii="Arial" w:hAnsi="Arial" w:cs="Arial"/>
          <w:sz w:val="16"/>
          <w:szCs w:val="16"/>
          <w:lang w:val="en-US"/>
        </w:rPr>
        <w:t xml:space="preserve"> </w:t>
      </w:r>
      <w:r w:rsidRPr="00B32F59">
        <w:rPr>
          <w:rFonts w:ascii="Arial" w:hAnsi="Arial" w:cs="Arial"/>
          <w:sz w:val="16"/>
          <w:szCs w:val="16"/>
          <w:lang w:val="en-US"/>
        </w:rPr>
        <w:t>=</w:t>
      </w:r>
      <w:r>
        <w:rPr>
          <w:rFonts w:ascii="Arial" w:hAnsi="Arial" w:cs="Arial"/>
          <w:sz w:val="16"/>
          <w:szCs w:val="16"/>
          <w:lang w:val="en-GB"/>
        </w:rPr>
        <w:t xml:space="preserve"> R</w:t>
      </w:r>
      <w:r w:rsidRPr="00B32F59">
        <w:rPr>
          <w:rFonts w:ascii="Arial" w:hAnsi="Arial" w:cs="Arial"/>
          <w:sz w:val="16"/>
          <w:szCs w:val="16"/>
          <w:lang w:val="en-GB"/>
        </w:rPr>
        <w:t>etrospective record review</w:t>
      </w:r>
      <w:r>
        <w:rPr>
          <w:rFonts w:ascii="Arial" w:hAnsi="Arial" w:cs="Arial"/>
          <w:sz w:val="16"/>
          <w:szCs w:val="16"/>
          <w:lang w:val="en-GB"/>
        </w:rPr>
        <w:t>;</w:t>
      </w:r>
      <w:r w:rsidRPr="00B32F59">
        <w:rPr>
          <w:rFonts w:ascii="Arial" w:hAnsi="Arial" w:cs="Arial"/>
          <w:sz w:val="16"/>
          <w:szCs w:val="16"/>
          <w:lang w:val="en-US"/>
        </w:rPr>
        <w:t xml:space="preserve"> TT</w:t>
      </w:r>
      <w:r w:rsidR="008B23E8">
        <w:rPr>
          <w:rFonts w:ascii="Arial" w:hAnsi="Arial" w:cs="Arial"/>
          <w:sz w:val="16"/>
          <w:szCs w:val="16"/>
          <w:lang w:val="en-US"/>
        </w:rPr>
        <w:t xml:space="preserve"> </w:t>
      </w:r>
      <w:r w:rsidRPr="00B32F59">
        <w:rPr>
          <w:rFonts w:ascii="Arial" w:hAnsi="Arial" w:cs="Arial"/>
          <w:sz w:val="16"/>
          <w:szCs w:val="16"/>
          <w:lang w:val="en-US"/>
        </w:rPr>
        <w:t>=</w:t>
      </w:r>
      <w:r>
        <w:rPr>
          <w:rFonts w:ascii="Arial" w:hAnsi="Arial" w:cs="Arial"/>
          <w:sz w:val="16"/>
          <w:szCs w:val="16"/>
          <w:lang w:val="en-US"/>
        </w:rPr>
        <w:t xml:space="preserve"> T</w:t>
      </w:r>
      <w:r w:rsidRPr="00B32F59">
        <w:rPr>
          <w:rFonts w:ascii="Arial" w:hAnsi="Arial" w:cs="Arial"/>
          <w:sz w:val="16"/>
          <w:szCs w:val="16"/>
          <w:lang w:val="en-US"/>
        </w:rPr>
        <w:t>rigger tool</w:t>
      </w:r>
    </w:p>
    <w:p w14:paraId="4F974376" w14:textId="77777777" w:rsidR="00A27E4A" w:rsidRDefault="00A27E4A">
      <w:pPr>
        <w:spacing w:line="240" w:lineRule="auto"/>
        <w:rPr>
          <w:lang w:val="en-US"/>
        </w:rPr>
      </w:pPr>
    </w:p>
    <w:p w14:paraId="577E7B1B" w14:textId="1ECD9343" w:rsidR="00A27E4A" w:rsidRPr="00A27E4A" w:rsidRDefault="00A27E4A">
      <w:pPr>
        <w:spacing w:line="240" w:lineRule="auto"/>
        <w:rPr>
          <w:lang w:val="en-US"/>
        </w:rPr>
      </w:pPr>
      <w:r w:rsidRPr="00A27E4A">
        <w:rPr>
          <w:lang w:val="en-US"/>
        </w:rPr>
        <w:br w:type="page"/>
      </w:r>
    </w:p>
    <w:tbl>
      <w:tblPr>
        <w:tblW w:w="0" w:type="auto"/>
        <w:tblInd w:w="2" w:type="dxa"/>
        <w:tblBorders>
          <w:bottom w:val="single" w:sz="4" w:space="0" w:color="auto"/>
        </w:tblBorders>
        <w:tblLook w:val="00A0" w:firstRow="1" w:lastRow="0" w:firstColumn="1" w:lastColumn="0" w:noHBand="0" w:noVBand="0"/>
      </w:tblPr>
      <w:tblGrid>
        <w:gridCol w:w="9070"/>
      </w:tblGrid>
      <w:tr w:rsidR="00B32F59" w:rsidRPr="00410077" w14:paraId="4EABA4B4" w14:textId="77777777" w:rsidTr="00A27E4A">
        <w:trPr>
          <w:trHeight w:val="253"/>
        </w:trPr>
        <w:tc>
          <w:tcPr>
            <w:tcW w:w="9070" w:type="dxa"/>
            <w:vAlign w:val="center"/>
          </w:tcPr>
          <w:p w14:paraId="2A45B132" w14:textId="6FA61C39" w:rsidR="00B32F59" w:rsidRPr="006E2364" w:rsidRDefault="00B32F59" w:rsidP="004F3458">
            <w:pPr>
              <w:autoSpaceDE w:val="0"/>
              <w:autoSpaceDN w:val="0"/>
              <w:adjustRightInd w:val="0"/>
              <w:spacing w:before="240" w:after="240" w:line="240" w:lineRule="auto"/>
              <w:rPr>
                <w:rFonts w:ascii="Arial" w:hAnsi="Arial" w:cs="Arial"/>
                <w:b/>
                <w:bCs/>
                <w:sz w:val="18"/>
                <w:szCs w:val="18"/>
                <w:lang w:val="en-GB"/>
              </w:rPr>
            </w:pPr>
            <w:r>
              <w:rPr>
                <w:rFonts w:ascii="Arial" w:hAnsi="Arial" w:cs="Arial"/>
                <w:b/>
                <w:bCs/>
                <w:sz w:val="18"/>
                <w:szCs w:val="18"/>
                <w:lang w:val="en-GB"/>
              </w:rPr>
              <w:lastRenderedPageBreak/>
              <w:t xml:space="preserve">Table </w:t>
            </w:r>
            <w:r w:rsidR="00A25EB9">
              <w:rPr>
                <w:rFonts w:ascii="Arial" w:hAnsi="Arial" w:cs="Arial"/>
                <w:b/>
                <w:bCs/>
                <w:sz w:val="18"/>
                <w:szCs w:val="18"/>
                <w:lang w:val="en-GB"/>
              </w:rPr>
              <w:t>B</w:t>
            </w:r>
            <w:r>
              <w:rPr>
                <w:rFonts w:ascii="Arial" w:hAnsi="Arial" w:cs="Arial"/>
                <w:b/>
                <w:bCs/>
                <w:sz w:val="18"/>
                <w:szCs w:val="18"/>
                <w:lang w:val="en-GB"/>
              </w:rPr>
              <w:t>.</w:t>
            </w:r>
            <w:r w:rsidR="008C7247">
              <w:rPr>
                <w:rFonts w:ascii="Arial" w:hAnsi="Arial" w:cs="Arial"/>
                <w:b/>
                <w:bCs/>
                <w:sz w:val="18"/>
                <w:szCs w:val="18"/>
                <w:lang w:val="en-GB"/>
              </w:rPr>
              <w:t>2</w:t>
            </w:r>
            <w:r w:rsidRPr="006E2364">
              <w:rPr>
                <w:rFonts w:ascii="Arial" w:hAnsi="Arial" w:cs="Arial"/>
                <w:b/>
                <w:bCs/>
                <w:sz w:val="18"/>
                <w:szCs w:val="18"/>
                <w:lang w:val="en-GB"/>
              </w:rPr>
              <w:t xml:space="preserve"> Example of a trigger definition and description</w:t>
            </w:r>
          </w:p>
        </w:tc>
      </w:tr>
      <w:tr w:rsidR="00B32F59" w:rsidRPr="00410077" w14:paraId="3B103019" w14:textId="77777777" w:rsidTr="00A27E4A">
        <w:trPr>
          <w:trHeight w:val="445"/>
        </w:trPr>
        <w:tc>
          <w:tcPr>
            <w:tcW w:w="9070" w:type="dxa"/>
            <w:tcBorders>
              <w:top w:val="single" w:sz="4" w:space="0" w:color="auto"/>
              <w:bottom w:val="single" w:sz="4" w:space="0" w:color="auto"/>
            </w:tcBorders>
            <w:vAlign w:val="center"/>
          </w:tcPr>
          <w:p w14:paraId="29DA698E" w14:textId="77777777" w:rsidR="00B32F59" w:rsidRPr="00D47020" w:rsidRDefault="00B32F59" w:rsidP="004F3458">
            <w:pPr>
              <w:pStyle w:val="Rubrik2"/>
              <w:numPr>
                <w:ilvl w:val="1"/>
                <w:numId w:val="1"/>
              </w:numPr>
              <w:spacing w:before="240" w:line="360" w:lineRule="auto"/>
              <w:rPr>
                <w:rFonts w:ascii="Arial" w:hAnsi="Arial"/>
                <w:i/>
                <w:sz w:val="16"/>
                <w:szCs w:val="16"/>
                <w:lang w:val="en-GB"/>
              </w:rPr>
            </w:pPr>
            <w:r w:rsidRPr="006E2364">
              <w:rPr>
                <w:sz w:val="18"/>
                <w:szCs w:val="18"/>
                <w:lang w:val="en-GB"/>
              </w:rPr>
              <w:t xml:space="preserve">  </w:t>
            </w:r>
            <w:r w:rsidRPr="009A4BE6">
              <w:rPr>
                <w:rFonts w:ascii="Arial" w:hAnsi="Arial"/>
                <w:sz w:val="18"/>
                <w:szCs w:val="16"/>
                <w:lang w:val="en-GB"/>
              </w:rPr>
              <w:t xml:space="preserve">Adverse drug event/Adverse drug reaction </w:t>
            </w:r>
          </w:p>
        </w:tc>
      </w:tr>
      <w:tr w:rsidR="00B32F59" w:rsidRPr="00410077" w14:paraId="05856762" w14:textId="77777777" w:rsidTr="00A27E4A">
        <w:tc>
          <w:tcPr>
            <w:tcW w:w="9070" w:type="dxa"/>
            <w:tcBorders>
              <w:top w:val="single" w:sz="4" w:space="0" w:color="auto"/>
            </w:tcBorders>
            <w:vAlign w:val="center"/>
          </w:tcPr>
          <w:p w14:paraId="7711FBCE" w14:textId="77777777" w:rsidR="00B32F59" w:rsidRPr="00D47020" w:rsidRDefault="00B32F59" w:rsidP="004F3458">
            <w:pPr>
              <w:autoSpaceDE w:val="0"/>
              <w:autoSpaceDN w:val="0"/>
              <w:adjustRightInd w:val="0"/>
              <w:spacing w:before="240" w:line="240" w:lineRule="auto"/>
              <w:rPr>
                <w:rFonts w:ascii="Arial" w:hAnsi="Arial" w:cs="Arial"/>
                <w:b/>
                <w:iCs/>
                <w:sz w:val="16"/>
                <w:szCs w:val="16"/>
                <w:lang w:val="en-GB"/>
              </w:rPr>
            </w:pPr>
            <w:r w:rsidRPr="00D47020">
              <w:rPr>
                <w:rFonts w:ascii="Arial" w:hAnsi="Arial" w:cs="Arial"/>
                <w:b/>
                <w:iCs/>
                <w:sz w:val="16"/>
                <w:szCs w:val="16"/>
                <w:lang w:val="en-GB"/>
              </w:rPr>
              <w:t xml:space="preserve">Definition </w:t>
            </w:r>
          </w:p>
          <w:p w14:paraId="07F60E0B" w14:textId="77777777" w:rsidR="00B32F59" w:rsidRPr="00D47020" w:rsidRDefault="00B32F59" w:rsidP="004F3458">
            <w:pPr>
              <w:spacing w:after="240" w:line="240" w:lineRule="auto"/>
              <w:rPr>
                <w:rFonts w:ascii="Arial" w:hAnsi="Arial" w:cs="Arial"/>
                <w:sz w:val="16"/>
                <w:szCs w:val="16"/>
                <w:lang w:val="en-GB" w:bidi="en-US"/>
              </w:rPr>
            </w:pPr>
            <w:r w:rsidRPr="00D47020">
              <w:rPr>
                <w:rFonts w:ascii="Arial" w:hAnsi="Arial" w:cs="Arial"/>
                <w:sz w:val="16"/>
                <w:szCs w:val="16"/>
                <w:lang w:val="en-GB" w:bidi="en-US"/>
              </w:rPr>
              <w:t xml:space="preserve">Sign of impairment or harm caused by drug treatment </w:t>
            </w:r>
            <w:r w:rsidRPr="00D47020">
              <w:rPr>
                <w:rFonts w:ascii="Arial" w:hAnsi="Arial" w:cs="Arial"/>
                <w:i/>
                <w:sz w:val="16"/>
                <w:szCs w:val="16"/>
                <w:lang w:val="en-GB" w:bidi="en-US"/>
              </w:rPr>
              <w:t>and/or</w:t>
            </w:r>
            <w:r w:rsidRPr="00D47020">
              <w:rPr>
                <w:rFonts w:ascii="Arial" w:hAnsi="Arial" w:cs="Arial"/>
                <w:sz w:val="16"/>
                <w:szCs w:val="16"/>
                <w:lang w:val="en-GB" w:bidi="en-US"/>
              </w:rPr>
              <w:t xml:space="preserve"> anaphylaxis</w:t>
            </w:r>
          </w:p>
        </w:tc>
      </w:tr>
      <w:tr w:rsidR="00B32F59" w:rsidRPr="00410077" w14:paraId="55017677" w14:textId="77777777" w:rsidTr="00A27E4A">
        <w:tc>
          <w:tcPr>
            <w:tcW w:w="9070" w:type="dxa"/>
          </w:tcPr>
          <w:p w14:paraId="69DBD498" w14:textId="77777777" w:rsidR="00B32F59" w:rsidRPr="0080037C" w:rsidRDefault="00B32F59" w:rsidP="000313B2">
            <w:pPr>
              <w:spacing w:line="240" w:lineRule="auto"/>
              <w:rPr>
                <w:rFonts w:ascii="Arial" w:hAnsi="Arial" w:cs="Arial"/>
                <w:sz w:val="16"/>
                <w:szCs w:val="16"/>
                <w:lang w:val="en-GB" w:bidi="en-US"/>
              </w:rPr>
            </w:pPr>
            <w:r w:rsidRPr="0080037C">
              <w:rPr>
                <w:rFonts w:ascii="Arial" w:hAnsi="Arial" w:cs="Arial"/>
                <w:b/>
                <w:iCs/>
                <w:sz w:val="16"/>
                <w:szCs w:val="16"/>
                <w:lang w:val="en-GB"/>
              </w:rPr>
              <w:t>What to keep in mind and be aware of when reviewing the record and assessing events</w:t>
            </w:r>
            <w:r w:rsidRPr="0080037C">
              <w:rPr>
                <w:rFonts w:ascii="Arial" w:hAnsi="Arial" w:cs="Arial"/>
                <w:b/>
                <w:iCs/>
                <w:sz w:val="16"/>
                <w:szCs w:val="16"/>
                <w:lang w:val="en-GB"/>
              </w:rPr>
              <w:br/>
            </w:r>
            <w:r w:rsidRPr="0080037C">
              <w:rPr>
                <w:rFonts w:ascii="Arial" w:hAnsi="Arial" w:cs="Arial"/>
                <w:sz w:val="16"/>
                <w:szCs w:val="16"/>
                <w:lang w:val="en-GB" w:bidi="en-US"/>
              </w:rPr>
              <w:t>Even if the adverse drug reaction is a known side effect, a negative effect on the patient as per the above should be seen as a positive trigger and adverse event.</w:t>
            </w:r>
            <w:r w:rsidRPr="0080037C">
              <w:rPr>
                <w:rFonts w:ascii="Arial" w:hAnsi="Arial" w:cs="Arial"/>
                <w:b/>
                <w:iCs/>
                <w:sz w:val="16"/>
                <w:szCs w:val="16"/>
                <w:lang w:val="en-GB"/>
              </w:rPr>
              <w:br/>
            </w:r>
            <w:r w:rsidRPr="0080037C">
              <w:rPr>
                <w:rFonts w:ascii="Arial" w:hAnsi="Arial" w:cs="Arial"/>
                <w:sz w:val="16"/>
                <w:szCs w:val="16"/>
                <w:lang w:val="en-GB" w:bidi="en-US"/>
              </w:rPr>
              <w:t xml:space="preserve">When a certain drug is known to </w:t>
            </w:r>
            <w:r w:rsidRPr="0080037C">
              <w:rPr>
                <w:rFonts w:ascii="Arial" w:hAnsi="Arial" w:cs="Arial"/>
                <w:i/>
                <w:sz w:val="16"/>
                <w:szCs w:val="16"/>
                <w:lang w:val="en-GB" w:bidi="en-US"/>
              </w:rPr>
              <w:t>always</w:t>
            </w:r>
            <w:r w:rsidRPr="0080037C">
              <w:rPr>
                <w:rFonts w:ascii="Arial" w:hAnsi="Arial" w:cs="Arial"/>
                <w:sz w:val="16"/>
                <w:szCs w:val="16"/>
                <w:lang w:val="en-GB" w:bidi="en-US"/>
              </w:rPr>
              <w:t xml:space="preserve"> cause a specific reaction (for example, neutropenia following cytostatic treatment), this counts as an adverse event </w:t>
            </w:r>
            <w:r w:rsidRPr="0080037C">
              <w:rPr>
                <w:rFonts w:ascii="Arial" w:hAnsi="Arial" w:cs="Arial"/>
                <w:i/>
                <w:sz w:val="16"/>
                <w:szCs w:val="16"/>
                <w:lang w:val="en-GB" w:bidi="en-US"/>
              </w:rPr>
              <w:t>only</w:t>
            </w:r>
            <w:r w:rsidRPr="0080037C">
              <w:rPr>
                <w:rFonts w:ascii="Arial" w:hAnsi="Arial" w:cs="Arial"/>
                <w:sz w:val="16"/>
                <w:szCs w:val="16"/>
                <w:lang w:val="en-GB" w:bidi="en-US"/>
              </w:rPr>
              <w:t xml:space="preserve"> if the negative effect has been unusually strong and caused extraordinary measures and treatment efforts.</w:t>
            </w:r>
          </w:p>
          <w:p w14:paraId="3177BBB0" w14:textId="359E1949" w:rsidR="00B32F59" w:rsidRPr="0080037C" w:rsidRDefault="00B32F59" w:rsidP="00844C61">
            <w:pPr>
              <w:spacing w:line="240" w:lineRule="auto"/>
              <w:rPr>
                <w:rFonts w:ascii="Arial" w:hAnsi="Arial" w:cs="Arial"/>
                <w:sz w:val="16"/>
                <w:szCs w:val="16"/>
                <w:lang w:val="en-GB" w:bidi="en-US"/>
              </w:rPr>
            </w:pPr>
            <w:r w:rsidRPr="0080037C">
              <w:rPr>
                <w:rFonts w:ascii="Arial" w:hAnsi="Arial" w:cs="Arial"/>
                <w:sz w:val="16"/>
                <w:szCs w:val="16"/>
                <w:lang w:val="en-GB" w:bidi="en-US"/>
              </w:rPr>
              <w:t xml:space="preserve">Drugs may be double documented in different systems for records and documentation; changes in order entries may fail to be updated if drug review is not performed. </w:t>
            </w:r>
          </w:p>
          <w:p w14:paraId="59681B10" w14:textId="77777777" w:rsidR="00B32F59" w:rsidRPr="0080037C" w:rsidRDefault="00B32F59" w:rsidP="00844C61">
            <w:pPr>
              <w:spacing w:line="240" w:lineRule="auto"/>
              <w:rPr>
                <w:rFonts w:ascii="Arial" w:hAnsi="Arial" w:cs="Arial"/>
                <w:sz w:val="16"/>
                <w:szCs w:val="16"/>
                <w:lang w:val="en-GB" w:bidi="en-US"/>
              </w:rPr>
            </w:pPr>
            <w:r w:rsidRPr="0080037C">
              <w:rPr>
                <w:rFonts w:ascii="Arial" w:hAnsi="Arial" w:cs="Arial"/>
                <w:sz w:val="16"/>
                <w:szCs w:val="16"/>
                <w:lang w:val="en-GB" w:bidi="en-US"/>
              </w:rPr>
              <w:t xml:space="preserve">If an anaphylactic reaction requiring treatment should arise, this should be seen as an adverse event, even if the patient has a full recovery after the acute phase. </w:t>
            </w:r>
          </w:p>
          <w:p w14:paraId="09E323A3" w14:textId="77777777" w:rsidR="00B32F59" w:rsidRPr="0080037C" w:rsidRDefault="00B32F59" w:rsidP="00844C61">
            <w:pPr>
              <w:spacing w:line="240" w:lineRule="auto"/>
              <w:rPr>
                <w:rFonts w:ascii="Arial" w:hAnsi="Arial" w:cs="Arial"/>
                <w:sz w:val="16"/>
                <w:szCs w:val="16"/>
                <w:lang w:val="en-GB"/>
              </w:rPr>
            </w:pPr>
            <w:r w:rsidRPr="0080037C">
              <w:rPr>
                <w:rFonts w:ascii="Arial" w:hAnsi="Arial" w:cs="Arial"/>
                <w:sz w:val="16"/>
                <w:szCs w:val="16"/>
                <w:lang w:val="en-GB" w:bidi="en-US"/>
              </w:rPr>
              <w:t xml:space="preserve">Be aware of drugs that often cause side effects in the elderly: cardiovascular drugs, anticoagulants, drugs affecting the central nervous system (psychotropic drugs, morphine-like analgesics, anticonvulsants), </w:t>
            </w:r>
            <w:r w:rsidRPr="0080037C">
              <w:rPr>
                <w:rFonts w:ascii="Arial" w:hAnsi="Arial" w:cs="Arial"/>
                <w:color w:val="000000"/>
                <w:sz w:val="16"/>
                <w:szCs w:val="16"/>
                <w:lang w:val="en-GB"/>
              </w:rPr>
              <w:t>antibiotics, cytostatic agents, anti-inflammatory or anti-diabetic drugs.</w:t>
            </w:r>
            <w:r w:rsidRPr="0080037C">
              <w:rPr>
                <w:rFonts w:ascii="Arial" w:hAnsi="Arial" w:cs="Arial"/>
                <w:sz w:val="16"/>
                <w:szCs w:val="16"/>
                <w:lang w:val="en-GB" w:bidi="en-US"/>
              </w:rPr>
              <w:br/>
              <w:t xml:space="preserve">Drugs used to ameliorate negative effects of drugs include particular antidotes, such as naloxone (intravenous against overdoses of opiates) and flumazenil (against overdoses of benzodiazepines). </w:t>
            </w:r>
            <w:proofErr w:type="spellStart"/>
            <w:r w:rsidRPr="0080037C">
              <w:rPr>
                <w:rFonts w:ascii="Arial" w:hAnsi="Arial" w:cs="Arial"/>
                <w:sz w:val="16"/>
                <w:szCs w:val="16"/>
                <w:lang w:val="en-GB" w:bidi="en-US"/>
              </w:rPr>
              <w:t>Dexrazoxan</w:t>
            </w:r>
            <w:proofErr w:type="spellEnd"/>
            <w:r w:rsidRPr="0080037C">
              <w:rPr>
                <w:rFonts w:ascii="Arial" w:hAnsi="Arial" w:cs="Arial"/>
                <w:sz w:val="16"/>
                <w:szCs w:val="16"/>
                <w:lang w:val="en-GB" w:bidi="en-US"/>
              </w:rPr>
              <w:t xml:space="preserve"> is an antidote against cytostatic agents of the anthracycline family and used, for example, upon extravasation, to reduce tissue damage.</w:t>
            </w:r>
            <w:r w:rsidRPr="0080037C">
              <w:rPr>
                <w:rFonts w:ascii="Arial" w:hAnsi="Arial" w:cs="Arial"/>
                <w:sz w:val="16"/>
                <w:szCs w:val="16"/>
                <w:lang w:val="en-GB" w:bidi="en-US"/>
              </w:rPr>
              <w:br/>
            </w:r>
            <w:r w:rsidRPr="0080037C">
              <w:rPr>
                <w:rFonts w:ascii="Arial" w:hAnsi="Arial" w:cs="Arial"/>
                <w:sz w:val="16"/>
                <w:szCs w:val="16"/>
                <w:lang w:val="en-GB"/>
              </w:rPr>
              <w:t>If a drug is given to a patient with known sensitivity, without harm arising, this is to be seen as a no-harm incident.</w:t>
            </w:r>
          </w:p>
          <w:p w14:paraId="69DACA20" w14:textId="77777777" w:rsidR="00B32F59" w:rsidRPr="0080037C" w:rsidRDefault="00B32F59" w:rsidP="00844C61">
            <w:pPr>
              <w:spacing w:line="240" w:lineRule="auto"/>
              <w:rPr>
                <w:rFonts w:ascii="Arial" w:hAnsi="Arial" w:cs="Arial"/>
                <w:b/>
                <w:iCs/>
                <w:sz w:val="16"/>
                <w:szCs w:val="16"/>
                <w:lang w:val="en-GB"/>
              </w:rPr>
            </w:pPr>
            <w:r w:rsidRPr="0080037C">
              <w:rPr>
                <w:rFonts w:ascii="Arial" w:hAnsi="Arial" w:cs="Arial"/>
                <w:sz w:val="16"/>
                <w:szCs w:val="16"/>
                <w:lang w:val="en-GB" w:bidi="en-US"/>
              </w:rPr>
              <w:t>Are conditions in place for safe drug administration in the home?</w:t>
            </w:r>
            <w:r w:rsidRPr="0080037C">
              <w:rPr>
                <w:rFonts w:ascii="Arial" w:hAnsi="Arial" w:cs="Arial"/>
                <w:b/>
                <w:iCs/>
                <w:sz w:val="16"/>
                <w:szCs w:val="16"/>
                <w:lang w:val="en-GB"/>
              </w:rPr>
              <w:t xml:space="preserve"> </w:t>
            </w:r>
          </w:p>
          <w:p w14:paraId="09892A62" w14:textId="77777777" w:rsidR="00B32F59" w:rsidRPr="0080037C" w:rsidRDefault="00B32F59" w:rsidP="00844C61">
            <w:pPr>
              <w:spacing w:line="240" w:lineRule="auto"/>
              <w:rPr>
                <w:rFonts w:ascii="Arial" w:hAnsi="Arial" w:cs="Arial"/>
                <w:sz w:val="16"/>
                <w:szCs w:val="16"/>
                <w:lang w:val="en-GB" w:bidi="en-US"/>
              </w:rPr>
            </w:pPr>
            <w:r w:rsidRPr="0080037C">
              <w:rPr>
                <w:rFonts w:ascii="Arial" w:hAnsi="Arial" w:cs="Arial"/>
                <w:sz w:val="16"/>
                <w:szCs w:val="16"/>
                <w:lang w:val="en-GB" w:bidi="en-US"/>
              </w:rPr>
              <w:t>Have adequate measures been taken to avoid mix-up of drugs, erroneous administration etc.?</w:t>
            </w:r>
            <w:r w:rsidRPr="0080037C">
              <w:rPr>
                <w:rFonts w:ascii="Arial" w:hAnsi="Arial" w:cs="Arial"/>
                <w:b/>
                <w:iCs/>
                <w:sz w:val="16"/>
                <w:szCs w:val="16"/>
                <w:lang w:val="en-GB"/>
              </w:rPr>
              <w:br/>
            </w:r>
            <w:r w:rsidRPr="0080037C">
              <w:rPr>
                <w:rFonts w:ascii="Arial" w:hAnsi="Arial" w:cs="Arial"/>
                <w:sz w:val="16"/>
                <w:szCs w:val="16"/>
                <w:lang w:val="en-GB" w:bidi="en-US"/>
              </w:rPr>
              <w:t xml:space="preserve">Are there routines on delegation and have they been followed? </w:t>
            </w:r>
          </w:p>
          <w:p w14:paraId="6E2BB5A2" w14:textId="77777777" w:rsidR="00B32F59" w:rsidRPr="0080037C" w:rsidRDefault="00B32F59" w:rsidP="00844C61">
            <w:pPr>
              <w:spacing w:line="240" w:lineRule="auto"/>
              <w:rPr>
                <w:rFonts w:ascii="Arial" w:hAnsi="Arial" w:cs="Arial"/>
                <w:b/>
                <w:iCs/>
                <w:sz w:val="16"/>
                <w:szCs w:val="16"/>
                <w:lang w:val="en-GB"/>
              </w:rPr>
            </w:pPr>
            <w:r w:rsidRPr="0080037C">
              <w:rPr>
                <w:rFonts w:ascii="Arial" w:hAnsi="Arial" w:cs="Arial"/>
                <w:sz w:val="16"/>
                <w:szCs w:val="16"/>
                <w:lang w:val="en-GB" w:bidi="en-US"/>
              </w:rPr>
              <w:t>At delegation - is there a sign-off list in the home?</w:t>
            </w:r>
            <w:r w:rsidRPr="0080037C">
              <w:rPr>
                <w:rFonts w:ascii="Arial" w:hAnsi="Arial" w:cs="Arial"/>
                <w:b/>
                <w:iCs/>
                <w:sz w:val="16"/>
                <w:szCs w:val="16"/>
                <w:lang w:val="en-GB"/>
              </w:rPr>
              <w:t xml:space="preserve"> </w:t>
            </w:r>
          </w:p>
          <w:p w14:paraId="1DE4055C" w14:textId="77777777" w:rsidR="00B32F59" w:rsidRPr="0080037C" w:rsidRDefault="00B32F59" w:rsidP="00844C61">
            <w:pPr>
              <w:spacing w:line="240" w:lineRule="auto"/>
              <w:rPr>
                <w:rFonts w:ascii="Arial" w:hAnsi="Arial" w:cs="Arial"/>
                <w:sz w:val="16"/>
                <w:szCs w:val="16"/>
                <w:lang w:val="en-GB" w:bidi="en-US"/>
              </w:rPr>
            </w:pPr>
            <w:r w:rsidRPr="0080037C">
              <w:rPr>
                <w:rFonts w:ascii="Arial" w:hAnsi="Arial" w:cs="Arial"/>
                <w:sz w:val="16"/>
                <w:szCs w:val="16"/>
                <w:lang w:val="en-GB" w:bidi="en-US"/>
              </w:rPr>
              <w:t xml:space="preserve">Is there a correct, up-to-date list of drugs in the home? Experience tells us that multiple drug lists occur and raise a risk for no-harm incidents and/or adverse events. </w:t>
            </w:r>
          </w:p>
          <w:p w14:paraId="4FAE577D" w14:textId="00FBB861" w:rsidR="00B32F59" w:rsidRPr="0080037C" w:rsidRDefault="00B32F59" w:rsidP="00844C61">
            <w:pPr>
              <w:spacing w:line="240" w:lineRule="auto"/>
              <w:rPr>
                <w:rFonts w:ascii="Arial" w:hAnsi="Arial" w:cs="Arial"/>
                <w:sz w:val="16"/>
                <w:szCs w:val="16"/>
                <w:lang w:val="en-GB" w:bidi="en-US"/>
              </w:rPr>
            </w:pPr>
            <w:r w:rsidRPr="0080037C">
              <w:rPr>
                <w:rFonts w:ascii="Arial" w:hAnsi="Arial" w:cs="Arial"/>
                <w:sz w:val="16"/>
                <w:szCs w:val="16"/>
                <w:lang w:val="en-GB" w:bidi="en-US"/>
              </w:rPr>
              <w:t>Have measures been taken to reduce the risk for mix-up of drug</w:t>
            </w:r>
            <w:r w:rsidR="00AD6D22">
              <w:rPr>
                <w:rFonts w:ascii="Arial" w:hAnsi="Arial" w:cs="Arial"/>
                <w:sz w:val="16"/>
                <w:szCs w:val="16"/>
                <w:lang w:val="en-GB" w:bidi="en-US"/>
              </w:rPr>
              <w:t>s</w:t>
            </w:r>
            <w:r w:rsidRPr="0080037C">
              <w:rPr>
                <w:rFonts w:ascii="Arial" w:hAnsi="Arial" w:cs="Arial"/>
                <w:sz w:val="16"/>
                <w:szCs w:val="16"/>
                <w:lang w:val="en-GB" w:bidi="en-US"/>
              </w:rPr>
              <w:t xml:space="preserve">? </w:t>
            </w:r>
          </w:p>
          <w:p w14:paraId="6E5F31AC" w14:textId="4A05BEC8" w:rsidR="00123047" w:rsidRPr="0080037C" w:rsidRDefault="00B32F59" w:rsidP="000313B2">
            <w:pPr>
              <w:spacing w:after="240" w:line="240" w:lineRule="auto"/>
              <w:rPr>
                <w:rFonts w:ascii="Arial" w:hAnsi="Arial" w:cs="Arial"/>
                <w:sz w:val="16"/>
                <w:szCs w:val="16"/>
                <w:lang w:val="en-GB" w:bidi="en-US"/>
              </w:rPr>
            </w:pPr>
            <w:r w:rsidRPr="0080037C">
              <w:rPr>
                <w:rFonts w:ascii="Arial" w:hAnsi="Arial" w:cs="Arial"/>
                <w:sz w:val="16"/>
                <w:szCs w:val="16"/>
                <w:lang w:val="en-GB" w:bidi="en-US"/>
              </w:rPr>
              <w:t>Have risky combinations of drugs been used?</w:t>
            </w:r>
          </w:p>
        </w:tc>
      </w:tr>
      <w:tr w:rsidR="00B32F59" w:rsidRPr="00410077" w14:paraId="78D7EAFC" w14:textId="77777777" w:rsidTr="00A27E4A">
        <w:tc>
          <w:tcPr>
            <w:tcW w:w="9070" w:type="dxa"/>
          </w:tcPr>
          <w:p w14:paraId="342A8B1F" w14:textId="77777777" w:rsidR="00B32F59" w:rsidRPr="0080037C" w:rsidRDefault="00B32F59" w:rsidP="000313B2">
            <w:pPr>
              <w:spacing w:line="240" w:lineRule="auto"/>
              <w:rPr>
                <w:rFonts w:ascii="Arial" w:hAnsi="Arial" w:cs="Arial"/>
                <w:b/>
                <w:iCs/>
                <w:sz w:val="16"/>
                <w:szCs w:val="16"/>
                <w:lang w:val="en-GB"/>
              </w:rPr>
            </w:pPr>
            <w:r w:rsidRPr="0080037C">
              <w:rPr>
                <w:rFonts w:ascii="Arial" w:hAnsi="Arial" w:cs="Arial"/>
                <w:b/>
                <w:iCs/>
                <w:sz w:val="16"/>
                <w:szCs w:val="16"/>
                <w:lang w:val="en-GB"/>
              </w:rPr>
              <w:t>Adverse events/no-harm incident that can be identified</w:t>
            </w:r>
          </w:p>
          <w:p w14:paraId="5F280092" w14:textId="77777777" w:rsidR="00B32F59" w:rsidRPr="0080037C" w:rsidRDefault="00B32F59" w:rsidP="00844C61">
            <w:pPr>
              <w:spacing w:line="240" w:lineRule="auto"/>
              <w:rPr>
                <w:rFonts w:ascii="Arial" w:hAnsi="Arial" w:cs="Arial"/>
                <w:sz w:val="16"/>
                <w:szCs w:val="16"/>
                <w:lang w:val="en-GB" w:bidi="en-US"/>
              </w:rPr>
            </w:pPr>
            <w:r w:rsidRPr="0080037C">
              <w:rPr>
                <w:rFonts w:ascii="Arial" w:hAnsi="Arial" w:cs="Arial"/>
                <w:sz w:val="16"/>
                <w:szCs w:val="16"/>
                <w:lang w:val="en-GB" w:bidi="en-US"/>
              </w:rPr>
              <w:t>Allergic reactions, skin reactions (blistering, rash, itching), mucous membrane damage in gastrointestinal tract, effect on central nervous system, kidney, liver or other organs, as well as dizziness, hypotension, heart arrhythmia, hypoglycaemia, confusion, kidney failure, altered consciousness, fainting, respiratory insufficiency, apnoea, shock or death. Falls. Life-threatening acute respiratory insufficiency or shock, or death from these causes.</w:t>
            </w:r>
          </w:p>
          <w:p w14:paraId="1CAAD8DA" w14:textId="77777777" w:rsidR="00B32F59" w:rsidRPr="0080037C" w:rsidRDefault="00B32F59" w:rsidP="00844C61">
            <w:pPr>
              <w:spacing w:line="240" w:lineRule="auto"/>
              <w:rPr>
                <w:rFonts w:ascii="Arial" w:hAnsi="Arial" w:cs="Arial"/>
                <w:sz w:val="16"/>
                <w:szCs w:val="16"/>
                <w:lang w:val="en-GB" w:bidi="en-US"/>
              </w:rPr>
            </w:pPr>
            <w:r w:rsidRPr="0080037C">
              <w:rPr>
                <w:rFonts w:ascii="Arial" w:hAnsi="Arial" w:cs="Arial"/>
                <w:sz w:val="16"/>
                <w:szCs w:val="16"/>
                <w:lang w:val="en-GB" w:bidi="en-US"/>
              </w:rPr>
              <w:t>Traceable no-harm incidents:</w:t>
            </w:r>
          </w:p>
          <w:p w14:paraId="614DE7AE" w14:textId="77777777" w:rsidR="00B32F59" w:rsidRPr="0080037C" w:rsidRDefault="00B32F59" w:rsidP="00B32F59">
            <w:pPr>
              <w:pStyle w:val="Liststycke"/>
              <w:numPr>
                <w:ilvl w:val="0"/>
                <w:numId w:val="3"/>
              </w:numPr>
              <w:spacing w:after="0" w:line="240" w:lineRule="auto"/>
              <w:contextualSpacing/>
              <w:rPr>
                <w:rFonts w:ascii="Arial" w:hAnsi="Arial" w:cs="Arial"/>
                <w:sz w:val="16"/>
                <w:szCs w:val="16"/>
                <w:lang w:val="en-GB" w:bidi="en-US"/>
              </w:rPr>
            </w:pPr>
            <w:r w:rsidRPr="0080037C">
              <w:rPr>
                <w:rFonts w:ascii="Arial" w:hAnsi="Arial" w:cs="Arial"/>
                <w:sz w:val="16"/>
                <w:szCs w:val="16"/>
                <w:lang w:val="en-GB" w:bidi="en-US"/>
              </w:rPr>
              <w:t>wrongly administered drug (dose, administration route, wrong patient) or non-intentional interruption in medication that has not given rise to an adverse event,</w:t>
            </w:r>
          </w:p>
          <w:p w14:paraId="04BDD8CE" w14:textId="77777777" w:rsidR="00B32F59" w:rsidRPr="0080037C" w:rsidRDefault="00B32F59" w:rsidP="00B32F59">
            <w:pPr>
              <w:pStyle w:val="Liststycke"/>
              <w:numPr>
                <w:ilvl w:val="0"/>
                <w:numId w:val="3"/>
              </w:numPr>
              <w:spacing w:after="0" w:line="240" w:lineRule="auto"/>
              <w:contextualSpacing/>
              <w:rPr>
                <w:rFonts w:ascii="Arial" w:hAnsi="Arial" w:cs="Arial"/>
                <w:sz w:val="16"/>
                <w:szCs w:val="16"/>
                <w:lang w:val="en-GB" w:bidi="en-US"/>
              </w:rPr>
            </w:pPr>
            <w:r w:rsidRPr="0080037C">
              <w:rPr>
                <w:rFonts w:ascii="Arial" w:hAnsi="Arial" w:cs="Arial"/>
                <w:sz w:val="16"/>
                <w:szCs w:val="16"/>
                <w:lang w:val="en-GB" w:bidi="en-US"/>
              </w:rPr>
              <w:t>an order entry that does not correspond to administration (if changes in the drug list have not been observed), that has not given rise to an adverse event,</w:t>
            </w:r>
          </w:p>
          <w:p w14:paraId="0232FB1B" w14:textId="5974CC0E" w:rsidR="00123047" w:rsidRPr="0080037C" w:rsidRDefault="00B32F59" w:rsidP="000313B2">
            <w:pPr>
              <w:pStyle w:val="Liststycke"/>
              <w:numPr>
                <w:ilvl w:val="0"/>
                <w:numId w:val="3"/>
              </w:numPr>
              <w:spacing w:line="240" w:lineRule="auto"/>
              <w:contextualSpacing/>
              <w:rPr>
                <w:rFonts w:ascii="Arial" w:hAnsi="Arial" w:cs="Arial"/>
                <w:sz w:val="16"/>
                <w:szCs w:val="16"/>
                <w:lang w:val="en-GB" w:bidi="en-US"/>
              </w:rPr>
            </w:pPr>
            <w:r w:rsidRPr="0080037C">
              <w:rPr>
                <w:rFonts w:ascii="Arial" w:hAnsi="Arial" w:cs="Arial"/>
                <w:sz w:val="16"/>
                <w:szCs w:val="16"/>
                <w:lang w:val="en-GB"/>
              </w:rPr>
              <w:t>the existence of multiple concurrent drug lists in the home is a no-harm incident if no adverse event can be identified.</w:t>
            </w:r>
          </w:p>
        </w:tc>
      </w:tr>
      <w:tr w:rsidR="00B32F59" w:rsidRPr="00AB158D" w14:paraId="2EF10DD9" w14:textId="77777777" w:rsidTr="00A27E4A">
        <w:tc>
          <w:tcPr>
            <w:tcW w:w="9070" w:type="dxa"/>
          </w:tcPr>
          <w:p w14:paraId="0E5EBDE3" w14:textId="77777777" w:rsidR="00B32F59" w:rsidRPr="0080037C" w:rsidRDefault="00B32F59" w:rsidP="000313B2">
            <w:pPr>
              <w:spacing w:line="240" w:lineRule="auto"/>
              <w:rPr>
                <w:rFonts w:ascii="Arial" w:hAnsi="Arial" w:cs="Arial"/>
                <w:b/>
                <w:iCs/>
                <w:sz w:val="16"/>
                <w:szCs w:val="16"/>
                <w:lang w:val="en-GB"/>
              </w:rPr>
            </w:pPr>
            <w:r w:rsidRPr="0080037C">
              <w:rPr>
                <w:rFonts w:ascii="Arial" w:hAnsi="Arial" w:cs="Arial"/>
                <w:b/>
                <w:iCs/>
                <w:sz w:val="16"/>
                <w:szCs w:val="16"/>
                <w:lang w:val="en-GB"/>
              </w:rPr>
              <w:t xml:space="preserve">Preventability </w:t>
            </w:r>
          </w:p>
          <w:p w14:paraId="63A76D14" w14:textId="77777777" w:rsidR="00B32F59" w:rsidRPr="0080037C" w:rsidRDefault="00B32F59" w:rsidP="00844C61">
            <w:pPr>
              <w:spacing w:line="240" w:lineRule="auto"/>
              <w:rPr>
                <w:rFonts w:ascii="Arial" w:hAnsi="Arial" w:cs="Arial"/>
                <w:sz w:val="16"/>
                <w:szCs w:val="16"/>
                <w:lang w:val="en-GB" w:bidi="en-US"/>
              </w:rPr>
            </w:pPr>
            <w:r w:rsidRPr="0080037C">
              <w:rPr>
                <w:rFonts w:ascii="Arial" w:hAnsi="Arial" w:cs="Arial"/>
                <w:sz w:val="16"/>
                <w:szCs w:val="16"/>
                <w:lang w:val="en-GB" w:bidi="en-US"/>
              </w:rPr>
              <w:t>The event should be seen as preventable if:</w:t>
            </w:r>
          </w:p>
          <w:p w14:paraId="29107A46" w14:textId="77777777" w:rsidR="00B32F59" w:rsidRPr="0080037C" w:rsidRDefault="00B32F59" w:rsidP="00B32F59">
            <w:pPr>
              <w:numPr>
                <w:ilvl w:val="0"/>
                <w:numId w:val="2"/>
              </w:numPr>
              <w:spacing w:line="240" w:lineRule="auto"/>
              <w:rPr>
                <w:rFonts w:ascii="Arial" w:hAnsi="Arial" w:cs="Arial"/>
                <w:sz w:val="16"/>
                <w:szCs w:val="16"/>
                <w:lang w:val="en-GB" w:bidi="en-US"/>
              </w:rPr>
            </w:pPr>
            <w:r w:rsidRPr="0080037C">
              <w:rPr>
                <w:rFonts w:ascii="Arial" w:hAnsi="Arial" w:cs="Arial"/>
                <w:sz w:val="16"/>
                <w:szCs w:val="16"/>
                <w:lang w:val="en-GB" w:bidi="en-US"/>
              </w:rPr>
              <w:t>drugs are given despite contraindication or known sensitivity,</w:t>
            </w:r>
          </w:p>
          <w:p w14:paraId="782F9961" w14:textId="77777777" w:rsidR="00B32F59" w:rsidRPr="0080037C" w:rsidRDefault="00B32F59" w:rsidP="00B32F59">
            <w:pPr>
              <w:numPr>
                <w:ilvl w:val="0"/>
                <w:numId w:val="2"/>
              </w:numPr>
              <w:spacing w:line="240" w:lineRule="auto"/>
              <w:rPr>
                <w:rFonts w:ascii="Arial" w:hAnsi="Arial" w:cs="Arial"/>
                <w:sz w:val="16"/>
                <w:szCs w:val="16"/>
                <w:lang w:val="en-GB" w:bidi="en-US"/>
              </w:rPr>
            </w:pPr>
            <w:r w:rsidRPr="0080037C">
              <w:rPr>
                <w:rFonts w:ascii="Arial" w:hAnsi="Arial" w:cs="Arial"/>
                <w:sz w:val="16"/>
                <w:szCs w:val="16"/>
                <w:lang w:val="en-GB" w:bidi="en-US"/>
              </w:rPr>
              <w:t>impaired function of kidney or liver has not been taken into account,</w:t>
            </w:r>
          </w:p>
          <w:p w14:paraId="551C2928" w14:textId="77777777" w:rsidR="00B32F59" w:rsidRPr="0080037C" w:rsidRDefault="00B32F59" w:rsidP="00B32F59">
            <w:pPr>
              <w:numPr>
                <w:ilvl w:val="0"/>
                <w:numId w:val="2"/>
              </w:numPr>
              <w:spacing w:line="240" w:lineRule="auto"/>
              <w:rPr>
                <w:rFonts w:ascii="Arial" w:hAnsi="Arial" w:cs="Arial"/>
                <w:sz w:val="16"/>
                <w:szCs w:val="16"/>
                <w:lang w:val="en-GB" w:bidi="en-US"/>
              </w:rPr>
            </w:pPr>
            <w:r w:rsidRPr="0080037C">
              <w:rPr>
                <w:rFonts w:ascii="Arial" w:hAnsi="Arial" w:cs="Arial"/>
                <w:sz w:val="16"/>
                <w:szCs w:val="16"/>
                <w:lang w:val="en-GB" w:bidi="en-US"/>
              </w:rPr>
              <w:t>the risk of an unfavourable effect has not been taken into account and no justification exists for prescription of interaction substances,</w:t>
            </w:r>
          </w:p>
          <w:p w14:paraId="3463B461" w14:textId="77777777" w:rsidR="00B32F59" w:rsidRPr="0080037C" w:rsidRDefault="00B32F59" w:rsidP="00B32F59">
            <w:pPr>
              <w:numPr>
                <w:ilvl w:val="0"/>
                <w:numId w:val="2"/>
              </w:numPr>
              <w:spacing w:line="240" w:lineRule="auto"/>
              <w:rPr>
                <w:rFonts w:ascii="Arial" w:hAnsi="Arial" w:cs="Arial"/>
                <w:sz w:val="16"/>
                <w:szCs w:val="16"/>
                <w:lang w:val="en-GB" w:bidi="en-US"/>
              </w:rPr>
            </w:pPr>
            <w:r w:rsidRPr="0080037C">
              <w:rPr>
                <w:rFonts w:ascii="Arial" w:hAnsi="Arial" w:cs="Arial"/>
                <w:sz w:val="16"/>
                <w:szCs w:val="16"/>
                <w:lang w:val="en-GB" w:bidi="en-US"/>
              </w:rPr>
              <w:t>the risk of an unfavourable effect from too low or too high concentrations has not been taken into account and no justification exists,</w:t>
            </w:r>
          </w:p>
          <w:p w14:paraId="700BC6B3" w14:textId="53DD2067" w:rsidR="00B32F59" w:rsidRPr="0080037C" w:rsidRDefault="00B32F59" w:rsidP="00B32F59">
            <w:pPr>
              <w:numPr>
                <w:ilvl w:val="0"/>
                <w:numId w:val="2"/>
              </w:numPr>
              <w:spacing w:line="240" w:lineRule="auto"/>
              <w:rPr>
                <w:rFonts w:ascii="Arial" w:hAnsi="Arial" w:cs="Arial"/>
                <w:sz w:val="16"/>
                <w:szCs w:val="16"/>
                <w:lang w:val="en-GB" w:bidi="en-US"/>
              </w:rPr>
            </w:pPr>
            <w:r w:rsidRPr="0080037C">
              <w:rPr>
                <w:rFonts w:ascii="Arial" w:hAnsi="Arial" w:cs="Arial"/>
                <w:sz w:val="16"/>
                <w:szCs w:val="16"/>
                <w:lang w:val="en-GB" w:bidi="en-US"/>
              </w:rPr>
              <w:t>treatment with opiates or benzodiazepines has caused symptoms that mean an antidote must be given (naloxone, flumazenil)</w:t>
            </w:r>
            <w:r w:rsidR="00AD6D22">
              <w:rPr>
                <w:rFonts w:ascii="Arial" w:hAnsi="Arial" w:cs="Arial"/>
                <w:sz w:val="16"/>
                <w:szCs w:val="16"/>
                <w:lang w:val="en-GB" w:bidi="en-US"/>
              </w:rPr>
              <w:t>,</w:t>
            </w:r>
          </w:p>
          <w:p w14:paraId="0ED2BC96" w14:textId="77777777" w:rsidR="00B32F59" w:rsidRPr="0080037C" w:rsidRDefault="00B32F59" w:rsidP="00B32F59">
            <w:pPr>
              <w:numPr>
                <w:ilvl w:val="0"/>
                <w:numId w:val="2"/>
              </w:numPr>
              <w:spacing w:line="240" w:lineRule="auto"/>
              <w:rPr>
                <w:rFonts w:ascii="Arial" w:hAnsi="Arial" w:cs="Arial"/>
                <w:b/>
                <w:i/>
                <w:iCs/>
                <w:sz w:val="16"/>
                <w:szCs w:val="16"/>
                <w:lang w:val="en-GB"/>
              </w:rPr>
            </w:pPr>
            <w:r w:rsidRPr="0080037C">
              <w:rPr>
                <w:rFonts w:ascii="Arial" w:hAnsi="Arial" w:cs="Arial"/>
                <w:sz w:val="16"/>
                <w:szCs w:val="16"/>
                <w:lang w:val="en-GB" w:bidi="en-US"/>
              </w:rPr>
              <w:t>follow-up of drug treatment or drug review has not been performed in an adequate way, with assessments and actions</w:t>
            </w:r>
            <w:r w:rsidRPr="0080037C">
              <w:rPr>
                <w:rFonts w:ascii="Arial" w:hAnsi="Arial" w:cs="Arial"/>
                <w:sz w:val="16"/>
                <w:szCs w:val="16"/>
                <w:lang w:val="en-GB"/>
              </w:rPr>
              <w:t>, or</w:t>
            </w:r>
          </w:p>
          <w:p w14:paraId="45998E33" w14:textId="569DB9F7" w:rsidR="00123047" w:rsidRPr="0080037C" w:rsidRDefault="00B32F59" w:rsidP="000313B2">
            <w:pPr>
              <w:numPr>
                <w:ilvl w:val="0"/>
                <w:numId w:val="2"/>
              </w:numPr>
              <w:spacing w:after="240" w:line="240" w:lineRule="auto"/>
              <w:rPr>
                <w:rFonts w:ascii="Arial" w:hAnsi="Arial" w:cs="Arial"/>
                <w:sz w:val="16"/>
                <w:szCs w:val="16"/>
                <w:lang w:val="en-GB" w:bidi="en-US"/>
              </w:rPr>
            </w:pPr>
            <w:proofErr w:type="gramStart"/>
            <w:r w:rsidRPr="0080037C">
              <w:rPr>
                <w:rFonts w:ascii="Arial" w:hAnsi="Arial" w:cs="Arial"/>
                <w:sz w:val="16"/>
                <w:szCs w:val="16"/>
                <w:lang w:val="en-GB" w:bidi="en-US"/>
              </w:rPr>
              <w:t>the</w:t>
            </w:r>
            <w:proofErr w:type="gramEnd"/>
            <w:r w:rsidRPr="0080037C">
              <w:rPr>
                <w:rFonts w:ascii="Arial" w:hAnsi="Arial" w:cs="Arial"/>
                <w:sz w:val="16"/>
                <w:szCs w:val="16"/>
                <w:lang w:val="en-GB" w:bidi="en-US"/>
              </w:rPr>
              <w:t xml:space="preserve"> allergy history has not been reviewed or if a known allergy has not been taken into account. </w:t>
            </w:r>
          </w:p>
        </w:tc>
      </w:tr>
    </w:tbl>
    <w:p w14:paraId="70AD1712" w14:textId="77777777" w:rsidR="009A4BE6" w:rsidRDefault="009A4BE6">
      <w:pPr>
        <w:rPr>
          <w:lang w:val="en-GB"/>
        </w:rPr>
      </w:pPr>
    </w:p>
    <w:sectPr w:rsidR="009A4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5743"/>
    <w:multiLevelType w:val="hybridMultilevel"/>
    <w:tmpl w:val="D2EC4A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281F06"/>
    <w:multiLevelType w:val="hybridMultilevel"/>
    <w:tmpl w:val="C0088FE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4F19464C"/>
    <w:multiLevelType w:val="multilevel"/>
    <w:tmpl w:val="041D0025"/>
    <w:lvl w:ilvl="0">
      <w:start w:val="1"/>
      <w:numFmt w:val="decimal"/>
      <w:lvlText w:val="%1"/>
      <w:lvlJc w:val="left"/>
      <w:pPr>
        <w:ind w:left="432" w:hanging="432"/>
      </w:pPr>
    </w:lvl>
    <w:lvl w:ilvl="1">
      <w:start w:val="1"/>
      <w:numFmt w:val="decimal"/>
      <w:lvlText w:val="%1.%2"/>
      <w:lvlJc w:val="left"/>
      <w:pPr>
        <w:ind w:left="-132" w:hanging="576"/>
      </w:pPr>
    </w:lvl>
    <w:lvl w:ilvl="2">
      <w:start w:val="1"/>
      <w:numFmt w:val="decimal"/>
      <w:lvlText w:val="%1.%2.%3"/>
      <w:lvlJc w:val="left"/>
      <w:pPr>
        <w:ind w:left="-1548" w:hanging="720"/>
      </w:pPr>
    </w:lvl>
    <w:lvl w:ilvl="3">
      <w:start w:val="1"/>
      <w:numFmt w:val="decimal"/>
      <w:lvlText w:val="%1.%2.%3.%4"/>
      <w:lvlJc w:val="left"/>
      <w:pPr>
        <w:ind w:left="-1404" w:hanging="864"/>
      </w:pPr>
    </w:lvl>
    <w:lvl w:ilvl="4">
      <w:start w:val="1"/>
      <w:numFmt w:val="decimal"/>
      <w:lvlText w:val="%1.%2.%3.%4.%5"/>
      <w:lvlJc w:val="left"/>
      <w:pPr>
        <w:ind w:left="-1260" w:hanging="1008"/>
      </w:pPr>
    </w:lvl>
    <w:lvl w:ilvl="5">
      <w:start w:val="1"/>
      <w:numFmt w:val="decimal"/>
      <w:lvlText w:val="%1.%2.%3.%4.%5.%6"/>
      <w:lvlJc w:val="left"/>
      <w:pPr>
        <w:ind w:left="-1116" w:hanging="1152"/>
      </w:pPr>
    </w:lvl>
    <w:lvl w:ilvl="6">
      <w:start w:val="1"/>
      <w:numFmt w:val="decimal"/>
      <w:lvlText w:val="%1.%2.%3.%4.%5.%6.%7"/>
      <w:lvlJc w:val="left"/>
      <w:pPr>
        <w:ind w:left="-972" w:hanging="1296"/>
      </w:pPr>
    </w:lvl>
    <w:lvl w:ilvl="7">
      <w:start w:val="1"/>
      <w:numFmt w:val="decimal"/>
      <w:lvlText w:val="%1.%2.%3.%4.%5.%6.%7.%8"/>
      <w:lvlJc w:val="left"/>
      <w:pPr>
        <w:ind w:left="-828" w:hanging="1440"/>
      </w:pPr>
    </w:lvl>
    <w:lvl w:ilvl="8">
      <w:start w:val="1"/>
      <w:numFmt w:val="decimal"/>
      <w:lvlText w:val="%1.%2.%3.%4.%5.%6.%7.%8.%9"/>
      <w:lvlJc w:val="left"/>
      <w:pPr>
        <w:ind w:left="-6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59"/>
    <w:rsid w:val="000313B2"/>
    <w:rsid w:val="000A5B2C"/>
    <w:rsid w:val="00123047"/>
    <w:rsid w:val="001B5BD3"/>
    <w:rsid w:val="003906C8"/>
    <w:rsid w:val="00410077"/>
    <w:rsid w:val="00481D8D"/>
    <w:rsid w:val="004A2E3E"/>
    <w:rsid w:val="004F3458"/>
    <w:rsid w:val="00716C54"/>
    <w:rsid w:val="007E5BA7"/>
    <w:rsid w:val="0080037C"/>
    <w:rsid w:val="008B23E8"/>
    <w:rsid w:val="008C7247"/>
    <w:rsid w:val="009163C9"/>
    <w:rsid w:val="00996DA0"/>
    <w:rsid w:val="009A4BE6"/>
    <w:rsid w:val="009A516B"/>
    <w:rsid w:val="00A25EB9"/>
    <w:rsid w:val="00A27E4A"/>
    <w:rsid w:val="00A57431"/>
    <w:rsid w:val="00AA3050"/>
    <w:rsid w:val="00AB158D"/>
    <w:rsid w:val="00AD6D22"/>
    <w:rsid w:val="00B2219C"/>
    <w:rsid w:val="00B32F59"/>
    <w:rsid w:val="00BD358F"/>
    <w:rsid w:val="00C4616D"/>
    <w:rsid w:val="00CB70F9"/>
    <w:rsid w:val="00CD39F5"/>
    <w:rsid w:val="00D47020"/>
    <w:rsid w:val="00E6757B"/>
    <w:rsid w:val="00EB02A2"/>
    <w:rsid w:val="00EF72D8"/>
    <w:rsid w:val="00FB1C22"/>
    <w:rsid w:val="00FD1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F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A5"/>
    <w:pPr>
      <w:spacing w:line="280" w:lineRule="atLeast"/>
    </w:pPr>
    <w:rPr>
      <w:rFonts w:ascii="Garamond" w:hAnsi="Garamond"/>
      <w:sz w:val="24"/>
      <w:szCs w:val="24"/>
    </w:rPr>
  </w:style>
  <w:style w:type="paragraph" w:styleId="Rubrik1">
    <w:name w:val="heading 1"/>
    <w:basedOn w:val="Normal"/>
    <w:next w:val="Normal"/>
    <w:qFormat/>
    <w:rsid w:val="00FD17A5"/>
    <w:pPr>
      <w:keepNext/>
      <w:spacing w:after="120"/>
      <w:outlineLvl w:val="0"/>
    </w:pPr>
    <w:rPr>
      <w:rFonts w:ascii="Futura Bk BT" w:hAnsi="Futura Bk BT" w:cs="Arial"/>
      <w:b/>
      <w:bCs/>
      <w:kern w:val="32"/>
      <w:sz w:val="28"/>
      <w:szCs w:val="32"/>
    </w:rPr>
  </w:style>
  <w:style w:type="paragraph" w:styleId="Rubrik2">
    <w:name w:val="heading 2"/>
    <w:basedOn w:val="Normal"/>
    <w:next w:val="Normal"/>
    <w:link w:val="Rubrik2Char"/>
    <w:qFormat/>
    <w:rsid w:val="00FD17A5"/>
    <w:pPr>
      <w:keepNext/>
      <w:spacing w:after="80"/>
      <w:outlineLvl w:val="1"/>
    </w:pPr>
    <w:rPr>
      <w:rFonts w:ascii="Futura Bk BT" w:hAnsi="Futura Bk BT" w:cs="Arial"/>
      <w:b/>
      <w:bCs/>
      <w:iCs/>
      <w:sz w:val="26"/>
      <w:szCs w:val="28"/>
    </w:rPr>
  </w:style>
  <w:style w:type="paragraph" w:styleId="Rubrik3">
    <w:name w:val="heading 3"/>
    <w:basedOn w:val="Normal"/>
    <w:next w:val="Normal"/>
    <w:qFormat/>
    <w:rsid w:val="00FD17A5"/>
    <w:pPr>
      <w:keepNext/>
      <w:spacing w:after="40"/>
      <w:outlineLvl w:val="2"/>
    </w:pPr>
    <w:rPr>
      <w:rFonts w:ascii="Futura Bk BT" w:hAnsi="Futura Bk BT" w:cs="Arial"/>
      <w:b/>
      <w:bCs/>
      <w:szCs w:val="26"/>
    </w:rPr>
  </w:style>
  <w:style w:type="paragraph" w:styleId="Rubrik4">
    <w:name w:val="heading 4"/>
    <w:basedOn w:val="Normal"/>
    <w:next w:val="Normal"/>
    <w:qFormat/>
    <w:rsid w:val="00FD17A5"/>
    <w:pPr>
      <w:keepNext/>
      <w:outlineLvl w:val="3"/>
    </w:pPr>
    <w:rPr>
      <w:b/>
      <w:bCs/>
      <w:szCs w:val="28"/>
    </w:rPr>
  </w:style>
  <w:style w:type="paragraph" w:styleId="Rubrik5">
    <w:name w:val="heading 5"/>
    <w:basedOn w:val="Normal"/>
    <w:next w:val="Normal"/>
    <w:link w:val="Rubrik5Char"/>
    <w:qFormat/>
    <w:rsid w:val="00B32F59"/>
    <w:pPr>
      <w:spacing w:before="240" w:after="60" w:line="240" w:lineRule="auto"/>
      <w:ind w:left="-1260" w:hanging="1008"/>
      <w:outlineLvl w:val="4"/>
    </w:pPr>
    <w:rPr>
      <w:rFonts w:ascii="Calibri" w:hAnsi="Calibri"/>
      <w:b/>
      <w:bCs/>
      <w:i/>
      <w:iCs/>
      <w:snapToGrid w:val="0"/>
      <w:sz w:val="26"/>
      <w:szCs w:val="26"/>
      <w:lang w:eastAsia="en-US"/>
    </w:rPr>
  </w:style>
  <w:style w:type="paragraph" w:styleId="Rubrik6">
    <w:name w:val="heading 6"/>
    <w:basedOn w:val="Normal"/>
    <w:next w:val="Normal"/>
    <w:link w:val="Rubrik6Char"/>
    <w:qFormat/>
    <w:rsid w:val="00B32F59"/>
    <w:pPr>
      <w:spacing w:before="240" w:after="60" w:line="240" w:lineRule="auto"/>
      <w:ind w:left="-1116" w:hanging="1152"/>
      <w:outlineLvl w:val="5"/>
    </w:pPr>
    <w:rPr>
      <w:rFonts w:ascii="Calibri" w:hAnsi="Calibri"/>
      <w:b/>
      <w:bCs/>
      <w:snapToGrid w:val="0"/>
      <w:sz w:val="22"/>
      <w:szCs w:val="22"/>
      <w:lang w:eastAsia="en-US"/>
    </w:rPr>
  </w:style>
  <w:style w:type="paragraph" w:styleId="Rubrik7">
    <w:name w:val="heading 7"/>
    <w:basedOn w:val="Normal"/>
    <w:next w:val="Normal"/>
    <w:link w:val="Rubrik7Char"/>
    <w:qFormat/>
    <w:rsid w:val="00B32F59"/>
    <w:pPr>
      <w:spacing w:before="240" w:after="60" w:line="240" w:lineRule="auto"/>
      <w:ind w:left="-972" w:hanging="1296"/>
      <w:outlineLvl w:val="6"/>
    </w:pPr>
    <w:rPr>
      <w:rFonts w:ascii="Calibri" w:hAnsi="Calibri"/>
      <w:snapToGrid w:val="0"/>
      <w:lang w:eastAsia="en-US"/>
    </w:rPr>
  </w:style>
  <w:style w:type="paragraph" w:styleId="Rubrik8">
    <w:name w:val="heading 8"/>
    <w:basedOn w:val="Normal"/>
    <w:next w:val="Normal"/>
    <w:link w:val="Rubrik8Char"/>
    <w:qFormat/>
    <w:rsid w:val="00B32F59"/>
    <w:pPr>
      <w:spacing w:before="240" w:after="60" w:line="240" w:lineRule="auto"/>
      <w:ind w:left="-828" w:hanging="1440"/>
      <w:outlineLvl w:val="7"/>
    </w:pPr>
    <w:rPr>
      <w:rFonts w:ascii="Calibri" w:hAnsi="Calibri"/>
      <w:i/>
      <w:iCs/>
      <w:snapToGrid w:val="0"/>
      <w:lang w:eastAsia="en-US"/>
    </w:rPr>
  </w:style>
  <w:style w:type="paragraph" w:styleId="Rubrik9">
    <w:name w:val="heading 9"/>
    <w:basedOn w:val="Normal"/>
    <w:next w:val="Normal"/>
    <w:link w:val="Rubrik9Char"/>
    <w:qFormat/>
    <w:rsid w:val="00B32F59"/>
    <w:pPr>
      <w:spacing w:before="240" w:after="60" w:line="240" w:lineRule="auto"/>
      <w:ind w:left="-684" w:hanging="1584"/>
      <w:outlineLvl w:val="8"/>
    </w:pPr>
    <w:rPr>
      <w:rFonts w:ascii="Cambria" w:hAnsi="Cambria"/>
      <w:snapToGrid w:val="0"/>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FD17A5"/>
    <w:rPr>
      <w:rFonts w:ascii="Futura Lt BT" w:hAnsi="Futura Lt BT"/>
      <w:noProof/>
      <w:sz w:val="15"/>
    </w:rPr>
  </w:style>
  <w:style w:type="paragraph" w:styleId="Sidhuvud">
    <w:name w:val="header"/>
    <w:basedOn w:val="Normal"/>
    <w:rsid w:val="00FD17A5"/>
    <w:pPr>
      <w:spacing w:line="240" w:lineRule="auto"/>
    </w:pPr>
  </w:style>
  <w:style w:type="character" w:styleId="Sidnummer">
    <w:name w:val="page number"/>
    <w:basedOn w:val="Standardstycketeckensnitt"/>
    <w:rsid w:val="00FD17A5"/>
  </w:style>
  <w:style w:type="table" w:styleId="Tabellrutnt">
    <w:name w:val="Table Grid"/>
    <w:basedOn w:val="Normaltabell"/>
    <w:uiPriority w:val="39"/>
    <w:rsid w:val="00B3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B32F59"/>
  </w:style>
  <w:style w:type="character" w:customStyle="1" w:styleId="employee-page-department">
    <w:name w:val="employee-page-department"/>
    <w:basedOn w:val="Standardstycketeckensnitt"/>
    <w:rsid w:val="00B32F59"/>
  </w:style>
  <w:style w:type="character" w:customStyle="1" w:styleId="Rubrik5Char">
    <w:name w:val="Rubrik 5 Char"/>
    <w:basedOn w:val="Standardstycketeckensnitt"/>
    <w:link w:val="Rubrik5"/>
    <w:rsid w:val="00B32F59"/>
    <w:rPr>
      <w:rFonts w:ascii="Calibri" w:hAnsi="Calibri"/>
      <w:b/>
      <w:bCs/>
      <w:i/>
      <w:iCs/>
      <w:snapToGrid w:val="0"/>
      <w:sz w:val="26"/>
      <w:szCs w:val="26"/>
      <w:lang w:eastAsia="en-US"/>
    </w:rPr>
  </w:style>
  <w:style w:type="character" w:customStyle="1" w:styleId="Rubrik6Char">
    <w:name w:val="Rubrik 6 Char"/>
    <w:basedOn w:val="Standardstycketeckensnitt"/>
    <w:link w:val="Rubrik6"/>
    <w:rsid w:val="00B32F59"/>
    <w:rPr>
      <w:rFonts w:ascii="Calibri" w:hAnsi="Calibri"/>
      <w:b/>
      <w:bCs/>
      <w:snapToGrid w:val="0"/>
      <w:sz w:val="22"/>
      <w:szCs w:val="22"/>
      <w:lang w:eastAsia="en-US"/>
    </w:rPr>
  </w:style>
  <w:style w:type="character" w:customStyle="1" w:styleId="Rubrik7Char">
    <w:name w:val="Rubrik 7 Char"/>
    <w:basedOn w:val="Standardstycketeckensnitt"/>
    <w:link w:val="Rubrik7"/>
    <w:rsid w:val="00B32F59"/>
    <w:rPr>
      <w:rFonts w:ascii="Calibri" w:hAnsi="Calibri"/>
      <w:snapToGrid w:val="0"/>
      <w:sz w:val="24"/>
      <w:szCs w:val="24"/>
      <w:lang w:eastAsia="en-US"/>
    </w:rPr>
  </w:style>
  <w:style w:type="character" w:customStyle="1" w:styleId="Rubrik8Char">
    <w:name w:val="Rubrik 8 Char"/>
    <w:basedOn w:val="Standardstycketeckensnitt"/>
    <w:link w:val="Rubrik8"/>
    <w:rsid w:val="00B32F59"/>
    <w:rPr>
      <w:rFonts w:ascii="Calibri" w:hAnsi="Calibri"/>
      <w:i/>
      <w:iCs/>
      <w:snapToGrid w:val="0"/>
      <w:sz w:val="24"/>
      <w:szCs w:val="24"/>
      <w:lang w:eastAsia="en-US"/>
    </w:rPr>
  </w:style>
  <w:style w:type="character" w:customStyle="1" w:styleId="Rubrik9Char">
    <w:name w:val="Rubrik 9 Char"/>
    <w:basedOn w:val="Standardstycketeckensnitt"/>
    <w:link w:val="Rubrik9"/>
    <w:rsid w:val="00B32F59"/>
    <w:rPr>
      <w:rFonts w:ascii="Cambria" w:hAnsi="Cambria"/>
      <w:snapToGrid w:val="0"/>
      <w:sz w:val="22"/>
      <w:szCs w:val="22"/>
      <w:lang w:eastAsia="en-US"/>
    </w:rPr>
  </w:style>
  <w:style w:type="character" w:customStyle="1" w:styleId="Rubrik2Char">
    <w:name w:val="Rubrik 2 Char"/>
    <w:basedOn w:val="Standardstycketeckensnitt"/>
    <w:link w:val="Rubrik2"/>
    <w:rsid w:val="00B32F59"/>
    <w:rPr>
      <w:rFonts w:ascii="Futura Bk BT" w:hAnsi="Futura Bk BT" w:cs="Arial"/>
      <w:b/>
      <w:bCs/>
      <w:iCs/>
      <w:sz w:val="26"/>
      <w:szCs w:val="28"/>
    </w:rPr>
  </w:style>
  <w:style w:type="paragraph" w:styleId="Liststycke">
    <w:name w:val="List Paragraph"/>
    <w:basedOn w:val="Normal"/>
    <w:uiPriority w:val="34"/>
    <w:qFormat/>
    <w:rsid w:val="00B32F59"/>
    <w:pPr>
      <w:spacing w:after="200" w:line="276" w:lineRule="auto"/>
      <w:ind w:left="720"/>
    </w:pPr>
    <w:rPr>
      <w:rFonts w:ascii="Calibri" w:eastAsia="Calibri" w:hAnsi="Calibri" w:cs="Calibri"/>
      <w:sz w:val="22"/>
      <w:szCs w:val="22"/>
      <w:lang w:eastAsia="en-US"/>
    </w:rPr>
  </w:style>
  <w:style w:type="character" w:styleId="Kommentarsreferens">
    <w:name w:val="annotation reference"/>
    <w:basedOn w:val="Standardstycketeckensnitt"/>
    <w:semiHidden/>
    <w:unhideWhenUsed/>
    <w:rsid w:val="009A4BE6"/>
    <w:rPr>
      <w:sz w:val="16"/>
      <w:szCs w:val="16"/>
    </w:rPr>
  </w:style>
  <w:style w:type="paragraph" w:styleId="Kommentarer">
    <w:name w:val="annotation text"/>
    <w:basedOn w:val="Normal"/>
    <w:link w:val="KommentarerChar"/>
    <w:semiHidden/>
    <w:unhideWhenUsed/>
    <w:rsid w:val="009A4BE6"/>
    <w:pPr>
      <w:spacing w:line="240" w:lineRule="auto"/>
    </w:pPr>
    <w:rPr>
      <w:sz w:val="20"/>
      <w:szCs w:val="20"/>
    </w:rPr>
  </w:style>
  <w:style w:type="character" w:customStyle="1" w:styleId="KommentarerChar">
    <w:name w:val="Kommentarer Char"/>
    <w:basedOn w:val="Standardstycketeckensnitt"/>
    <w:link w:val="Kommentarer"/>
    <w:semiHidden/>
    <w:rsid w:val="009A4BE6"/>
    <w:rPr>
      <w:rFonts w:ascii="Garamond" w:hAnsi="Garamond"/>
    </w:rPr>
  </w:style>
  <w:style w:type="paragraph" w:styleId="Kommentarsmne">
    <w:name w:val="annotation subject"/>
    <w:basedOn w:val="Kommentarer"/>
    <w:next w:val="Kommentarer"/>
    <w:link w:val="KommentarsmneChar"/>
    <w:semiHidden/>
    <w:unhideWhenUsed/>
    <w:rsid w:val="009A4BE6"/>
    <w:rPr>
      <w:b/>
      <w:bCs/>
    </w:rPr>
  </w:style>
  <w:style w:type="character" w:customStyle="1" w:styleId="KommentarsmneChar">
    <w:name w:val="Kommentarsämne Char"/>
    <w:basedOn w:val="KommentarerChar"/>
    <w:link w:val="Kommentarsmne"/>
    <w:semiHidden/>
    <w:rsid w:val="009A4BE6"/>
    <w:rPr>
      <w:rFonts w:ascii="Garamond" w:hAnsi="Garamond"/>
      <w:b/>
      <w:bCs/>
    </w:rPr>
  </w:style>
  <w:style w:type="paragraph" w:styleId="Ballongtext">
    <w:name w:val="Balloon Text"/>
    <w:basedOn w:val="Normal"/>
    <w:link w:val="BallongtextChar"/>
    <w:rsid w:val="009A4BE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9A4B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A5"/>
    <w:pPr>
      <w:spacing w:line="280" w:lineRule="atLeast"/>
    </w:pPr>
    <w:rPr>
      <w:rFonts w:ascii="Garamond" w:hAnsi="Garamond"/>
      <w:sz w:val="24"/>
      <w:szCs w:val="24"/>
    </w:rPr>
  </w:style>
  <w:style w:type="paragraph" w:styleId="Rubrik1">
    <w:name w:val="heading 1"/>
    <w:basedOn w:val="Normal"/>
    <w:next w:val="Normal"/>
    <w:qFormat/>
    <w:rsid w:val="00FD17A5"/>
    <w:pPr>
      <w:keepNext/>
      <w:spacing w:after="120"/>
      <w:outlineLvl w:val="0"/>
    </w:pPr>
    <w:rPr>
      <w:rFonts w:ascii="Futura Bk BT" w:hAnsi="Futura Bk BT" w:cs="Arial"/>
      <w:b/>
      <w:bCs/>
      <w:kern w:val="32"/>
      <w:sz w:val="28"/>
      <w:szCs w:val="32"/>
    </w:rPr>
  </w:style>
  <w:style w:type="paragraph" w:styleId="Rubrik2">
    <w:name w:val="heading 2"/>
    <w:basedOn w:val="Normal"/>
    <w:next w:val="Normal"/>
    <w:link w:val="Rubrik2Char"/>
    <w:qFormat/>
    <w:rsid w:val="00FD17A5"/>
    <w:pPr>
      <w:keepNext/>
      <w:spacing w:after="80"/>
      <w:outlineLvl w:val="1"/>
    </w:pPr>
    <w:rPr>
      <w:rFonts w:ascii="Futura Bk BT" w:hAnsi="Futura Bk BT" w:cs="Arial"/>
      <w:b/>
      <w:bCs/>
      <w:iCs/>
      <w:sz w:val="26"/>
      <w:szCs w:val="28"/>
    </w:rPr>
  </w:style>
  <w:style w:type="paragraph" w:styleId="Rubrik3">
    <w:name w:val="heading 3"/>
    <w:basedOn w:val="Normal"/>
    <w:next w:val="Normal"/>
    <w:qFormat/>
    <w:rsid w:val="00FD17A5"/>
    <w:pPr>
      <w:keepNext/>
      <w:spacing w:after="40"/>
      <w:outlineLvl w:val="2"/>
    </w:pPr>
    <w:rPr>
      <w:rFonts w:ascii="Futura Bk BT" w:hAnsi="Futura Bk BT" w:cs="Arial"/>
      <w:b/>
      <w:bCs/>
      <w:szCs w:val="26"/>
    </w:rPr>
  </w:style>
  <w:style w:type="paragraph" w:styleId="Rubrik4">
    <w:name w:val="heading 4"/>
    <w:basedOn w:val="Normal"/>
    <w:next w:val="Normal"/>
    <w:qFormat/>
    <w:rsid w:val="00FD17A5"/>
    <w:pPr>
      <w:keepNext/>
      <w:outlineLvl w:val="3"/>
    </w:pPr>
    <w:rPr>
      <w:b/>
      <w:bCs/>
      <w:szCs w:val="28"/>
    </w:rPr>
  </w:style>
  <w:style w:type="paragraph" w:styleId="Rubrik5">
    <w:name w:val="heading 5"/>
    <w:basedOn w:val="Normal"/>
    <w:next w:val="Normal"/>
    <w:link w:val="Rubrik5Char"/>
    <w:qFormat/>
    <w:rsid w:val="00B32F59"/>
    <w:pPr>
      <w:spacing w:before="240" w:after="60" w:line="240" w:lineRule="auto"/>
      <w:ind w:left="-1260" w:hanging="1008"/>
      <w:outlineLvl w:val="4"/>
    </w:pPr>
    <w:rPr>
      <w:rFonts w:ascii="Calibri" w:hAnsi="Calibri"/>
      <w:b/>
      <w:bCs/>
      <w:i/>
      <w:iCs/>
      <w:snapToGrid w:val="0"/>
      <w:sz w:val="26"/>
      <w:szCs w:val="26"/>
      <w:lang w:eastAsia="en-US"/>
    </w:rPr>
  </w:style>
  <w:style w:type="paragraph" w:styleId="Rubrik6">
    <w:name w:val="heading 6"/>
    <w:basedOn w:val="Normal"/>
    <w:next w:val="Normal"/>
    <w:link w:val="Rubrik6Char"/>
    <w:qFormat/>
    <w:rsid w:val="00B32F59"/>
    <w:pPr>
      <w:spacing w:before="240" w:after="60" w:line="240" w:lineRule="auto"/>
      <w:ind w:left="-1116" w:hanging="1152"/>
      <w:outlineLvl w:val="5"/>
    </w:pPr>
    <w:rPr>
      <w:rFonts w:ascii="Calibri" w:hAnsi="Calibri"/>
      <w:b/>
      <w:bCs/>
      <w:snapToGrid w:val="0"/>
      <w:sz w:val="22"/>
      <w:szCs w:val="22"/>
      <w:lang w:eastAsia="en-US"/>
    </w:rPr>
  </w:style>
  <w:style w:type="paragraph" w:styleId="Rubrik7">
    <w:name w:val="heading 7"/>
    <w:basedOn w:val="Normal"/>
    <w:next w:val="Normal"/>
    <w:link w:val="Rubrik7Char"/>
    <w:qFormat/>
    <w:rsid w:val="00B32F59"/>
    <w:pPr>
      <w:spacing w:before="240" w:after="60" w:line="240" w:lineRule="auto"/>
      <w:ind w:left="-972" w:hanging="1296"/>
      <w:outlineLvl w:val="6"/>
    </w:pPr>
    <w:rPr>
      <w:rFonts w:ascii="Calibri" w:hAnsi="Calibri"/>
      <w:snapToGrid w:val="0"/>
      <w:lang w:eastAsia="en-US"/>
    </w:rPr>
  </w:style>
  <w:style w:type="paragraph" w:styleId="Rubrik8">
    <w:name w:val="heading 8"/>
    <w:basedOn w:val="Normal"/>
    <w:next w:val="Normal"/>
    <w:link w:val="Rubrik8Char"/>
    <w:qFormat/>
    <w:rsid w:val="00B32F59"/>
    <w:pPr>
      <w:spacing w:before="240" w:after="60" w:line="240" w:lineRule="auto"/>
      <w:ind w:left="-828" w:hanging="1440"/>
      <w:outlineLvl w:val="7"/>
    </w:pPr>
    <w:rPr>
      <w:rFonts w:ascii="Calibri" w:hAnsi="Calibri"/>
      <w:i/>
      <w:iCs/>
      <w:snapToGrid w:val="0"/>
      <w:lang w:eastAsia="en-US"/>
    </w:rPr>
  </w:style>
  <w:style w:type="paragraph" w:styleId="Rubrik9">
    <w:name w:val="heading 9"/>
    <w:basedOn w:val="Normal"/>
    <w:next w:val="Normal"/>
    <w:link w:val="Rubrik9Char"/>
    <w:qFormat/>
    <w:rsid w:val="00B32F59"/>
    <w:pPr>
      <w:spacing w:before="240" w:after="60" w:line="240" w:lineRule="auto"/>
      <w:ind w:left="-684" w:hanging="1584"/>
      <w:outlineLvl w:val="8"/>
    </w:pPr>
    <w:rPr>
      <w:rFonts w:ascii="Cambria" w:hAnsi="Cambria"/>
      <w:snapToGrid w:val="0"/>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FD17A5"/>
    <w:rPr>
      <w:rFonts w:ascii="Futura Lt BT" w:hAnsi="Futura Lt BT"/>
      <w:noProof/>
      <w:sz w:val="15"/>
    </w:rPr>
  </w:style>
  <w:style w:type="paragraph" w:styleId="Sidhuvud">
    <w:name w:val="header"/>
    <w:basedOn w:val="Normal"/>
    <w:rsid w:val="00FD17A5"/>
    <w:pPr>
      <w:spacing w:line="240" w:lineRule="auto"/>
    </w:pPr>
  </w:style>
  <w:style w:type="character" w:styleId="Sidnummer">
    <w:name w:val="page number"/>
    <w:basedOn w:val="Standardstycketeckensnitt"/>
    <w:rsid w:val="00FD17A5"/>
  </w:style>
  <w:style w:type="table" w:styleId="Tabellrutnt">
    <w:name w:val="Table Grid"/>
    <w:basedOn w:val="Normaltabell"/>
    <w:uiPriority w:val="39"/>
    <w:rsid w:val="00B3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B32F59"/>
  </w:style>
  <w:style w:type="character" w:customStyle="1" w:styleId="employee-page-department">
    <w:name w:val="employee-page-department"/>
    <w:basedOn w:val="Standardstycketeckensnitt"/>
    <w:rsid w:val="00B32F59"/>
  </w:style>
  <w:style w:type="character" w:customStyle="1" w:styleId="Rubrik5Char">
    <w:name w:val="Rubrik 5 Char"/>
    <w:basedOn w:val="Standardstycketeckensnitt"/>
    <w:link w:val="Rubrik5"/>
    <w:rsid w:val="00B32F59"/>
    <w:rPr>
      <w:rFonts w:ascii="Calibri" w:hAnsi="Calibri"/>
      <w:b/>
      <w:bCs/>
      <w:i/>
      <w:iCs/>
      <w:snapToGrid w:val="0"/>
      <w:sz w:val="26"/>
      <w:szCs w:val="26"/>
      <w:lang w:eastAsia="en-US"/>
    </w:rPr>
  </w:style>
  <w:style w:type="character" w:customStyle="1" w:styleId="Rubrik6Char">
    <w:name w:val="Rubrik 6 Char"/>
    <w:basedOn w:val="Standardstycketeckensnitt"/>
    <w:link w:val="Rubrik6"/>
    <w:rsid w:val="00B32F59"/>
    <w:rPr>
      <w:rFonts w:ascii="Calibri" w:hAnsi="Calibri"/>
      <w:b/>
      <w:bCs/>
      <w:snapToGrid w:val="0"/>
      <w:sz w:val="22"/>
      <w:szCs w:val="22"/>
      <w:lang w:eastAsia="en-US"/>
    </w:rPr>
  </w:style>
  <w:style w:type="character" w:customStyle="1" w:styleId="Rubrik7Char">
    <w:name w:val="Rubrik 7 Char"/>
    <w:basedOn w:val="Standardstycketeckensnitt"/>
    <w:link w:val="Rubrik7"/>
    <w:rsid w:val="00B32F59"/>
    <w:rPr>
      <w:rFonts w:ascii="Calibri" w:hAnsi="Calibri"/>
      <w:snapToGrid w:val="0"/>
      <w:sz w:val="24"/>
      <w:szCs w:val="24"/>
      <w:lang w:eastAsia="en-US"/>
    </w:rPr>
  </w:style>
  <w:style w:type="character" w:customStyle="1" w:styleId="Rubrik8Char">
    <w:name w:val="Rubrik 8 Char"/>
    <w:basedOn w:val="Standardstycketeckensnitt"/>
    <w:link w:val="Rubrik8"/>
    <w:rsid w:val="00B32F59"/>
    <w:rPr>
      <w:rFonts w:ascii="Calibri" w:hAnsi="Calibri"/>
      <w:i/>
      <w:iCs/>
      <w:snapToGrid w:val="0"/>
      <w:sz w:val="24"/>
      <w:szCs w:val="24"/>
      <w:lang w:eastAsia="en-US"/>
    </w:rPr>
  </w:style>
  <w:style w:type="character" w:customStyle="1" w:styleId="Rubrik9Char">
    <w:name w:val="Rubrik 9 Char"/>
    <w:basedOn w:val="Standardstycketeckensnitt"/>
    <w:link w:val="Rubrik9"/>
    <w:rsid w:val="00B32F59"/>
    <w:rPr>
      <w:rFonts w:ascii="Cambria" w:hAnsi="Cambria"/>
      <w:snapToGrid w:val="0"/>
      <w:sz w:val="22"/>
      <w:szCs w:val="22"/>
      <w:lang w:eastAsia="en-US"/>
    </w:rPr>
  </w:style>
  <w:style w:type="character" w:customStyle="1" w:styleId="Rubrik2Char">
    <w:name w:val="Rubrik 2 Char"/>
    <w:basedOn w:val="Standardstycketeckensnitt"/>
    <w:link w:val="Rubrik2"/>
    <w:rsid w:val="00B32F59"/>
    <w:rPr>
      <w:rFonts w:ascii="Futura Bk BT" w:hAnsi="Futura Bk BT" w:cs="Arial"/>
      <w:b/>
      <w:bCs/>
      <w:iCs/>
      <w:sz w:val="26"/>
      <w:szCs w:val="28"/>
    </w:rPr>
  </w:style>
  <w:style w:type="paragraph" w:styleId="Liststycke">
    <w:name w:val="List Paragraph"/>
    <w:basedOn w:val="Normal"/>
    <w:uiPriority w:val="34"/>
    <w:qFormat/>
    <w:rsid w:val="00B32F59"/>
    <w:pPr>
      <w:spacing w:after="200" w:line="276" w:lineRule="auto"/>
      <w:ind w:left="720"/>
    </w:pPr>
    <w:rPr>
      <w:rFonts w:ascii="Calibri" w:eastAsia="Calibri" w:hAnsi="Calibri" w:cs="Calibri"/>
      <w:sz w:val="22"/>
      <w:szCs w:val="22"/>
      <w:lang w:eastAsia="en-US"/>
    </w:rPr>
  </w:style>
  <w:style w:type="character" w:styleId="Kommentarsreferens">
    <w:name w:val="annotation reference"/>
    <w:basedOn w:val="Standardstycketeckensnitt"/>
    <w:semiHidden/>
    <w:unhideWhenUsed/>
    <w:rsid w:val="009A4BE6"/>
    <w:rPr>
      <w:sz w:val="16"/>
      <w:szCs w:val="16"/>
    </w:rPr>
  </w:style>
  <w:style w:type="paragraph" w:styleId="Kommentarer">
    <w:name w:val="annotation text"/>
    <w:basedOn w:val="Normal"/>
    <w:link w:val="KommentarerChar"/>
    <w:semiHidden/>
    <w:unhideWhenUsed/>
    <w:rsid w:val="009A4BE6"/>
    <w:pPr>
      <w:spacing w:line="240" w:lineRule="auto"/>
    </w:pPr>
    <w:rPr>
      <w:sz w:val="20"/>
      <w:szCs w:val="20"/>
    </w:rPr>
  </w:style>
  <w:style w:type="character" w:customStyle="1" w:styleId="KommentarerChar">
    <w:name w:val="Kommentarer Char"/>
    <w:basedOn w:val="Standardstycketeckensnitt"/>
    <w:link w:val="Kommentarer"/>
    <w:semiHidden/>
    <w:rsid w:val="009A4BE6"/>
    <w:rPr>
      <w:rFonts w:ascii="Garamond" w:hAnsi="Garamond"/>
    </w:rPr>
  </w:style>
  <w:style w:type="paragraph" w:styleId="Kommentarsmne">
    <w:name w:val="annotation subject"/>
    <w:basedOn w:val="Kommentarer"/>
    <w:next w:val="Kommentarer"/>
    <w:link w:val="KommentarsmneChar"/>
    <w:semiHidden/>
    <w:unhideWhenUsed/>
    <w:rsid w:val="009A4BE6"/>
    <w:rPr>
      <w:b/>
      <w:bCs/>
    </w:rPr>
  </w:style>
  <w:style w:type="character" w:customStyle="1" w:styleId="KommentarsmneChar">
    <w:name w:val="Kommentarsämne Char"/>
    <w:basedOn w:val="KommentarerChar"/>
    <w:link w:val="Kommentarsmne"/>
    <w:semiHidden/>
    <w:rsid w:val="009A4BE6"/>
    <w:rPr>
      <w:rFonts w:ascii="Garamond" w:hAnsi="Garamond"/>
      <w:b/>
      <w:bCs/>
    </w:rPr>
  </w:style>
  <w:style w:type="paragraph" w:styleId="Ballongtext">
    <w:name w:val="Balloon Text"/>
    <w:basedOn w:val="Normal"/>
    <w:link w:val="BallongtextChar"/>
    <w:rsid w:val="009A4BE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9A4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7766-3061-4849-B8F7-3DBE8ED9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4864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Ersta Sköndal högskola</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Lindblad Marléne</dc:creator>
  <cp:lastModifiedBy>Lindblad Marléne</cp:lastModifiedBy>
  <cp:revision>2</cp:revision>
  <dcterms:created xsi:type="dcterms:W3CDTF">2017-06-14T05:48:00Z</dcterms:created>
  <dcterms:modified xsi:type="dcterms:W3CDTF">2017-06-14T05:48:00Z</dcterms:modified>
</cp:coreProperties>
</file>